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31EDE">
      <w:pPr>
        <w:keepNext w:val="0"/>
        <w:keepLines w:val="0"/>
        <w:pageBreakBefore w:val="0"/>
        <w:widowControl w:val="0"/>
        <w:kinsoku/>
        <w:wordWrap/>
        <w:overflowPunct/>
        <w:topLinePunct w:val="0"/>
        <w:autoSpaceDE/>
        <w:autoSpaceDN/>
        <w:bidi w:val="0"/>
        <w:adjustRightInd/>
        <w:snapToGrid/>
        <w:jc w:val="right"/>
        <w:textAlignment w:val="auto"/>
        <w:outlineLvl w:val="9"/>
        <w:rPr>
          <w:rFonts w:hint="default" w:ascii="宋体" w:eastAsia="宋体"/>
          <w:b/>
          <w:bCs/>
          <w:color w:val="auto"/>
          <w:sz w:val="30"/>
          <w:szCs w:val="30"/>
          <w:highlight w:val="none"/>
          <w:lang w:val="en-US" w:eastAsia="zh-CN"/>
        </w:rPr>
      </w:pPr>
      <w:r>
        <w:rPr>
          <w:rFonts w:hint="eastAsia" w:ascii="宋体"/>
          <w:b/>
          <w:color w:val="auto"/>
          <w:sz w:val="30"/>
          <w:szCs w:val="30"/>
          <w:highlight w:val="none"/>
        </w:rPr>
        <w:t>采购编号：</w:t>
      </w:r>
      <w:r>
        <w:rPr>
          <w:rFonts w:hint="eastAsia" w:ascii="宋体" w:hAnsi="宋体" w:cs="宋体"/>
          <w:b/>
          <w:bCs/>
          <w:color w:val="auto"/>
          <w:sz w:val="30"/>
          <w:szCs w:val="30"/>
          <w:highlight w:val="none"/>
          <w:lang w:val="en-US" w:eastAsia="zh-CN"/>
        </w:rPr>
        <w:t>202607SJ002</w:t>
      </w:r>
    </w:p>
    <w:p w14:paraId="40DEB2FC">
      <w:pPr>
        <w:rPr>
          <w:rFonts w:hint="eastAsia" w:ascii="宋体"/>
          <w:b/>
          <w:color w:val="auto"/>
          <w:sz w:val="52"/>
          <w:szCs w:val="52"/>
          <w:highlight w:val="none"/>
        </w:rPr>
      </w:pPr>
    </w:p>
    <w:p w14:paraId="19DB2C1D">
      <w:pPr>
        <w:pStyle w:val="2"/>
        <w:rPr>
          <w:rFonts w:hint="eastAsia"/>
        </w:rPr>
      </w:pPr>
    </w:p>
    <w:p w14:paraId="0EE031F6">
      <w:pPr>
        <w:pStyle w:val="11"/>
        <w:keepNext w:val="0"/>
        <w:keepLines w:val="0"/>
        <w:pageBreakBefore w:val="0"/>
        <w:widowControl w:val="0"/>
        <w:kinsoku/>
        <w:wordWrap/>
        <w:overflowPunct/>
        <w:topLinePunct w:val="0"/>
        <w:bidi w:val="0"/>
        <w:jc w:val="center"/>
        <w:textAlignment w:val="auto"/>
        <w:outlineLvl w:val="9"/>
        <w:rPr>
          <w:rFonts w:hint="eastAsia" w:ascii="宋体" w:hAnsi="宋体" w:eastAsia="宋体" w:cs="宋体"/>
          <w:b/>
          <w:color w:val="auto"/>
          <w:kern w:val="2"/>
          <w:sz w:val="52"/>
          <w:szCs w:val="52"/>
          <w:highlight w:val="none"/>
          <w:lang w:val="en-US" w:eastAsia="zh-CN" w:bidi="ar-SA"/>
        </w:rPr>
      </w:pPr>
      <w:r>
        <w:rPr>
          <w:rFonts w:hint="eastAsia" w:ascii="宋体" w:hAnsi="宋体" w:eastAsia="宋体" w:cs="宋体"/>
          <w:b/>
          <w:color w:val="auto"/>
          <w:kern w:val="2"/>
          <w:sz w:val="52"/>
          <w:szCs w:val="52"/>
          <w:highlight w:val="none"/>
          <w:lang w:val="en-US" w:eastAsia="zh-CN" w:bidi="ar-SA"/>
        </w:rPr>
        <w:t>四川信息职业技术学院</w:t>
      </w:r>
    </w:p>
    <w:p w14:paraId="49B31EFD">
      <w:pPr>
        <w:pStyle w:val="16"/>
        <w:keepNext w:val="0"/>
        <w:keepLines w:val="0"/>
        <w:pageBreakBefore w:val="0"/>
        <w:widowControl w:val="0"/>
        <w:kinsoku/>
        <w:wordWrap/>
        <w:overflowPunct/>
        <w:topLinePunct w:val="0"/>
        <w:bidi w:val="0"/>
        <w:ind w:firstLine="1566" w:firstLineChars="300"/>
        <w:textAlignment w:val="auto"/>
        <w:outlineLvl w:val="9"/>
        <w:rPr>
          <w:rFonts w:hint="eastAsia" w:ascii="宋体" w:hAnsi="宋体" w:cs="宋体"/>
          <w:color w:val="auto"/>
          <w:sz w:val="52"/>
          <w:szCs w:val="52"/>
          <w:highlight w:val="none"/>
        </w:rPr>
      </w:pPr>
      <w:r>
        <w:rPr>
          <w:rFonts w:hint="eastAsia" w:ascii="宋体" w:hAnsi="宋体" w:eastAsia="宋体" w:cs="宋体"/>
          <w:b/>
          <w:color w:val="auto"/>
          <w:kern w:val="2"/>
          <w:sz w:val="52"/>
          <w:szCs w:val="52"/>
          <w:highlight w:val="none"/>
          <w:lang w:val="en-US" w:eastAsia="zh-CN" w:bidi="ar-SA"/>
        </w:rPr>
        <w:t>工程造价咨询服务采购项目</w:t>
      </w:r>
    </w:p>
    <w:p w14:paraId="0986A50B">
      <w:pPr>
        <w:keepNext w:val="0"/>
        <w:keepLines w:val="0"/>
        <w:pageBreakBefore w:val="0"/>
        <w:widowControl w:val="0"/>
        <w:kinsoku/>
        <w:wordWrap/>
        <w:overflowPunct/>
        <w:topLinePunct w:val="0"/>
        <w:bidi w:val="0"/>
        <w:textAlignment w:val="auto"/>
        <w:outlineLvl w:val="9"/>
        <w:rPr>
          <w:rFonts w:hint="eastAsia"/>
          <w:color w:val="auto"/>
          <w:highlight w:val="none"/>
        </w:rPr>
      </w:pPr>
    </w:p>
    <w:p w14:paraId="437A0E4E">
      <w:pPr>
        <w:keepNext w:val="0"/>
        <w:keepLines w:val="0"/>
        <w:pageBreakBefore w:val="0"/>
        <w:widowControl w:val="0"/>
        <w:kinsoku/>
        <w:wordWrap/>
        <w:overflowPunct/>
        <w:topLinePunct w:val="0"/>
        <w:bidi w:val="0"/>
        <w:textAlignment w:val="auto"/>
        <w:outlineLvl w:val="9"/>
        <w:rPr>
          <w:rFonts w:hint="eastAsia"/>
          <w:color w:val="auto"/>
          <w:highlight w:val="none"/>
        </w:rPr>
      </w:pPr>
    </w:p>
    <w:p w14:paraId="186D95B8">
      <w:pPr>
        <w:keepNext w:val="0"/>
        <w:keepLines w:val="0"/>
        <w:pageBreakBefore w:val="0"/>
        <w:widowControl w:val="0"/>
        <w:kinsoku/>
        <w:wordWrap/>
        <w:overflowPunct/>
        <w:topLinePunct w:val="0"/>
        <w:bidi w:val="0"/>
        <w:adjustRightInd w:val="0"/>
        <w:snapToGrid w:val="0"/>
        <w:spacing w:line="360" w:lineRule="auto"/>
        <w:jc w:val="center"/>
        <w:textAlignment w:val="auto"/>
        <w:outlineLvl w:val="9"/>
        <w:rPr>
          <w:rFonts w:hint="eastAsia" w:ascii="宋体" w:hAnsi="宋体" w:cs="宋体"/>
          <w:color w:val="auto"/>
          <w:sz w:val="52"/>
          <w:szCs w:val="52"/>
          <w:highlight w:val="none"/>
        </w:rPr>
      </w:pPr>
      <w:r>
        <w:rPr>
          <w:rFonts w:hint="eastAsia" w:ascii="宋体" w:hAnsi="宋体" w:cs="宋体"/>
          <w:b/>
          <w:color w:val="auto"/>
          <w:sz w:val="52"/>
          <w:szCs w:val="52"/>
          <w:highlight w:val="none"/>
        </w:rPr>
        <w:t>竞争性磋商文件</w:t>
      </w:r>
    </w:p>
    <w:p w14:paraId="273DACBC">
      <w:pPr>
        <w:pStyle w:val="11"/>
        <w:keepNext w:val="0"/>
        <w:keepLines w:val="0"/>
        <w:pageBreakBefore w:val="0"/>
        <w:widowControl w:val="0"/>
        <w:kinsoku/>
        <w:wordWrap/>
        <w:overflowPunct/>
        <w:topLinePunct w:val="0"/>
        <w:bidi w:val="0"/>
        <w:spacing w:line="360" w:lineRule="auto"/>
        <w:jc w:val="left"/>
        <w:textAlignment w:val="auto"/>
        <w:outlineLvl w:val="9"/>
        <w:rPr>
          <w:rFonts w:hint="eastAsia" w:ascii="宋体" w:hAnsi="宋体" w:cs="宋体"/>
          <w:color w:val="auto"/>
          <w:highlight w:val="none"/>
        </w:rPr>
      </w:pPr>
    </w:p>
    <w:p w14:paraId="6E8D81A1">
      <w:pPr>
        <w:pStyle w:val="12"/>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cs="宋体"/>
          <w:color w:val="auto"/>
          <w:highlight w:val="none"/>
        </w:rPr>
      </w:pPr>
    </w:p>
    <w:p w14:paraId="0EE6D53A">
      <w:pPr>
        <w:pStyle w:val="12"/>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cs="宋体"/>
          <w:color w:val="auto"/>
          <w:highlight w:val="none"/>
        </w:rPr>
      </w:pPr>
    </w:p>
    <w:p w14:paraId="16A62751">
      <w:pPr>
        <w:pStyle w:val="12"/>
        <w:keepNext w:val="0"/>
        <w:keepLines w:val="0"/>
        <w:pageBreakBefore w:val="0"/>
        <w:widowControl w:val="0"/>
        <w:kinsoku/>
        <w:wordWrap/>
        <w:overflowPunct/>
        <w:topLinePunct w:val="0"/>
        <w:bidi w:val="0"/>
        <w:spacing w:line="360" w:lineRule="auto"/>
        <w:ind w:left="0" w:leftChars="0" w:firstLine="0" w:firstLineChars="0"/>
        <w:jc w:val="left"/>
        <w:textAlignment w:val="auto"/>
        <w:outlineLvl w:val="9"/>
        <w:rPr>
          <w:rFonts w:hint="eastAsia" w:ascii="宋体" w:hAnsi="宋体" w:cs="宋体"/>
          <w:color w:val="auto"/>
          <w:highlight w:val="none"/>
        </w:rPr>
      </w:pPr>
    </w:p>
    <w:p w14:paraId="6804D0BD">
      <w:pPr>
        <w:pStyle w:val="11"/>
        <w:keepNext w:val="0"/>
        <w:keepLines w:val="0"/>
        <w:pageBreakBefore w:val="0"/>
        <w:widowControl w:val="0"/>
        <w:kinsoku/>
        <w:wordWrap/>
        <w:overflowPunct/>
        <w:topLinePunct w:val="0"/>
        <w:bidi w:val="0"/>
        <w:spacing w:after="0" w:line="360" w:lineRule="auto"/>
        <w:jc w:val="center"/>
        <w:textAlignment w:val="auto"/>
        <w:outlineLvl w:val="9"/>
        <w:rPr>
          <w:rFonts w:hint="eastAsia" w:ascii="宋体" w:hAnsi="宋体" w:cs="宋体"/>
          <w:b/>
          <w:bCs/>
          <w:color w:val="auto"/>
          <w:sz w:val="30"/>
          <w:szCs w:val="30"/>
          <w:highlight w:val="none"/>
          <w:lang w:eastAsia="zh-CN"/>
        </w:rPr>
      </w:pPr>
      <w:r>
        <w:rPr>
          <w:rFonts w:hint="eastAsia" w:ascii="宋体" w:hAnsi="宋体" w:cs="宋体"/>
          <w:b/>
          <w:bCs/>
          <w:color w:val="auto"/>
          <w:sz w:val="30"/>
          <w:szCs w:val="30"/>
          <w:highlight w:val="none"/>
        </w:rPr>
        <w:t>采购人：</w:t>
      </w:r>
      <w:r>
        <w:rPr>
          <w:rFonts w:hint="eastAsia" w:ascii="宋体" w:hAnsi="宋体" w:cs="宋体"/>
          <w:b/>
          <w:bCs/>
          <w:color w:val="auto"/>
          <w:sz w:val="30"/>
          <w:szCs w:val="30"/>
          <w:highlight w:val="none"/>
          <w:lang w:eastAsia="zh-CN"/>
        </w:rPr>
        <w:t>四川信息职业技术学院</w:t>
      </w:r>
    </w:p>
    <w:p w14:paraId="478D32DC">
      <w:pPr>
        <w:keepNext w:val="0"/>
        <w:keepLines w:val="0"/>
        <w:pageBreakBefore w:val="0"/>
        <w:widowControl w:val="0"/>
        <w:kinsoku/>
        <w:wordWrap/>
        <w:overflowPunct/>
        <w:topLinePunct w:val="0"/>
        <w:bidi w:val="0"/>
        <w:textAlignment w:val="auto"/>
        <w:outlineLvl w:val="9"/>
        <w:rPr>
          <w:rFonts w:hint="eastAsia"/>
          <w:color w:val="auto"/>
          <w:highlight w:val="none"/>
        </w:rPr>
      </w:pPr>
      <w:bookmarkStart w:id="0" w:name="_Toc22200"/>
    </w:p>
    <w:p w14:paraId="5FD0C431">
      <w:pPr>
        <w:pStyle w:val="11"/>
        <w:keepNext w:val="0"/>
        <w:keepLines w:val="0"/>
        <w:pageBreakBefore w:val="0"/>
        <w:widowControl w:val="0"/>
        <w:kinsoku/>
        <w:wordWrap/>
        <w:overflowPunct/>
        <w:topLinePunct w:val="0"/>
        <w:bidi w:val="0"/>
        <w:spacing w:after="0" w:line="360" w:lineRule="auto"/>
        <w:ind w:firstLine="452" w:firstLineChars="150"/>
        <w:jc w:val="center"/>
        <w:textAlignment w:val="auto"/>
        <w:outlineLvl w:val="9"/>
        <w:rPr>
          <w:rFonts w:hint="eastAsia" w:ascii="宋体" w:hAnsi="宋体" w:eastAsia="宋体" w:cs="宋体"/>
          <w:b/>
          <w:bCs/>
          <w:color w:val="auto"/>
          <w:kern w:val="2"/>
          <w:sz w:val="30"/>
          <w:szCs w:val="30"/>
          <w:highlight w:val="none"/>
          <w:lang w:val="en-US" w:eastAsia="zh-CN" w:bidi="ar-SA"/>
        </w:rPr>
      </w:pPr>
      <w:r>
        <w:rPr>
          <w:rFonts w:hint="eastAsia" w:ascii="宋体" w:hAnsi="宋体" w:eastAsia="宋体" w:cs="宋体"/>
          <w:b/>
          <w:bCs/>
          <w:color w:val="auto"/>
          <w:kern w:val="2"/>
          <w:sz w:val="30"/>
          <w:szCs w:val="30"/>
          <w:highlight w:val="none"/>
          <w:lang w:val="en-US" w:eastAsia="zh-CN" w:bidi="ar-SA"/>
        </w:rPr>
        <w:t>2026年</w:t>
      </w:r>
      <w:r>
        <w:rPr>
          <w:rFonts w:hint="eastAsia" w:ascii="宋体" w:hAnsi="宋体" w:cs="宋体"/>
          <w:b/>
          <w:bCs/>
          <w:color w:val="auto"/>
          <w:kern w:val="2"/>
          <w:sz w:val="30"/>
          <w:szCs w:val="30"/>
          <w:highlight w:val="none"/>
          <w:lang w:val="en-US" w:eastAsia="zh-CN" w:bidi="ar-SA"/>
        </w:rPr>
        <w:t>7</w:t>
      </w:r>
      <w:r>
        <w:rPr>
          <w:rFonts w:hint="eastAsia" w:ascii="宋体" w:hAnsi="宋体" w:eastAsia="宋体" w:cs="宋体"/>
          <w:b/>
          <w:bCs/>
          <w:color w:val="auto"/>
          <w:kern w:val="2"/>
          <w:sz w:val="30"/>
          <w:szCs w:val="30"/>
          <w:highlight w:val="none"/>
          <w:lang w:val="en-US" w:eastAsia="zh-CN" w:bidi="ar-SA"/>
        </w:rPr>
        <w:t>月</w:t>
      </w:r>
      <w:bookmarkEnd w:id="0"/>
    </w:p>
    <w:p w14:paraId="15C60919">
      <w:pPr>
        <w:pStyle w:val="16"/>
        <w:rPr>
          <w:rFonts w:hint="eastAsia" w:ascii="宋体" w:hAnsi="宋体" w:eastAsia="宋体" w:cs="宋体"/>
          <w:b/>
          <w:bCs/>
          <w:color w:val="auto"/>
          <w:kern w:val="2"/>
          <w:sz w:val="30"/>
          <w:szCs w:val="30"/>
          <w:highlight w:val="none"/>
          <w:lang w:val="en-US" w:eastAsia="zh-CN" w:bidi="ar-SA"/>
        </w:rPr>
      </w:pPr>
    </w:p>
    <w:p w14:paraId="50B7ACB0">
      <w:pPr>
        <w:pStyle w:val="16"/>
        <w:rPr>
          <w:rFonts w:hint="eastAsia" w:ascii="宋体" w:hAnsi="宋体" w:eastAsia="宋体" w:cs="宋体"/>
          <w:b/>
          <w:bCs/>
          <w:color w:val="auto"/>
          <w:kern w:val="2"/>
          <w:sz w:val="30"/>
          <w:szCs w:val="30"/>
          <w:highlight w:val="none"/>
          <w:lang w:val="en-US" w:eastAsia="zh-CN" w:bidi="ar-SA"/>
        </w:rPr>
        <w:sectPr>
          <w:headerReference r:id="rId3" w:type="default"/>
          <w:pgSz w:w="11906" w:h="16838"/>
          <w:pgMar w:top="1417" w:right="1417" w:bottom="1417" w:left="1417" w:header="851" w:footer="992" w:gutter="0"/>
          <w:pgNumType w:fmt="numberInDash"/>
          <w:cols w:space="720" w:num="1"/>
          <w:docGrid w:type="lines" w:linePitch="312" w:charSpace="0"/>
        </w:sectPr>
      </w:pPr>
    </w:p>
    <w:p w14:paraId="65DD412B">
      <w:pPr>
        <w:jc w:val="center"/>
        <w:rPr>
          <w:b/>
          <w:bCs/>
          <w:color w:val="auto"/>
          <w:sz w:val="32"/>
          <w:szCs w:val="32"/>
          <w:highlight w:val="none"/>
        </w:rPr>
      </w:pPr>
      <w:r>
        <w:rPr>
          <w:rFonts w:ascii="宋体" w:hAnsi="宋体"/>
          <w:b/>
          <w:bCs/>
          <w:color w:val="auto"/>
          <w:sz w:val="32"/>
          <w:szCs w:val="32"/>
          <w:highlight w:val="none"/>
        </w:rPr>
        <w:t>目</w:t>
      </w:r>
      <w:r>
        <w:rPr>
          <w:rFonts w:hint="eastAsia" w:ascii="宋体" w:hAnsi="宋体"/>
          <w:b/>
          <w:bCs/>
          <w:color w:val="auto"/>
          <w:sz w:val="32"/>
          <w:szCs w:val="32"/>
          <w:highlight w:val="none"/>
        </w:rPr>
        <w:t xml:space="preserve">  </w:t>
      </w:r>
      <w:r>
        <w:rPr>
          <w:rFonts w:ascii="宋体" w:hAnsi="宋体"/>
          <w:b/>
          <w:bCs/>
          <w:color w:val="auto"/>
          <w:sz w:val="32"/>
          <w:szCs w:val="32"/>
          <w:highlight w:val="none"/>
        </w:rPr>
        <w:t>录</w:t>
      </w:r>
    </w:p>
    <w:p w14:paraId="053548D3">
      <w:pPr>
        <w:spacing w:before="0" w:beforeLines="0" w:after="0" w:afterLines="0" w:line="240" w:lineRule="auto"/>
        <w:ind w:left="0" w:leftChars="0" w:right="0" w:rightChars="0" w:firstLine="0" w:firstLineChars="0"/>
        <w:jc w:val="center"/>
      </w:pPr>
    </w:p>
    <w:p w14:paraId="49F3C608">
      <w:pPr>
        <w:pStyle w:val="22"/>
        <w:tabs>
          <w:tab w:val="right" w:leader="dot" w:pos="9524"/>
        </w:tabs>
        <w:rPr>
          <w:rFonts w:hint="eastAsia" w:ascii="宋体" w:hAnsi="宋体" w:eastAsia="宋体" w:cs="宋体"/>
          <w:sz w:val="28"/>
          <w:szCs w:val="28"/>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_Toc13627 </w:instrText>
      </w:r>
      <w:r>
        <w:rPr>
          <w:rFonts w:hint="eastAsia" w:ascii="宋体" w:hAnsi="宋体" w:eastAsia="宋体" w:cs="宋体"/>
          <w:sz w:val="28"/>
          <w:szCs w:val="44"/>
          <w:highlight w:val="none"/>
        </w:rPr>
        <w:fldChar w:fldCharType="separate"/>
      </w:r>
      <w:r>
        <w:rPr>
          <w:rFonts w:hint="eastAsia" w:ascii="宋体" w:hAnsi="宋体" w:eastAsia="宋体" w:cs="宋体"/>
          <w:kern w:val="2"/>
          <w:sz w:val="28"/>
          <w:szCs w:val="40"/>
          <w:highlight w:val="none"/>
        </w:rPr>
        <w:t>第一章  竞争性磋商邀请</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_Toc13627 \h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color w:val="auto"/>
          <w:sz w:val="28"/>
          <w:szCs w:val="44"/>
          <w:highlight w:val="none"/>
        </w:rPr>
        <w:fldChar w:fldCharType="end"/>
      </w:r>
    </w:p>
    <w:p w14:paraId="62ACDB1E">
      <w:pPr>
        <w:pStyle w:val="22"/>
        <w:tabs>
          <w:tab w:val="right" w:leader="dot" w:pos="9524"/>
        </w:tabs>
        <w:rPr>
          <w:rFonts w:hint="eastAsia" w:ascii="宋体" w:hAnsi="宋体" w:eastAsia="宋体" w:cs="宋体"/>
          <w:sz w:val="28"/>
          <w:szCs w:val="28"/>
        </w:rPr>
      </w:pPr>
      <w:r>
        <w:rPr>
          <w:rFonts w:hint="eastAsia" w:ascii="宋体" w:hAnsi="宋体" w:eastAsia="宋体" w:cs="宋体"/>
          <w:color w:val="auto"/>
          <w:sz w:val="36"/>
          <w:szCs w:val="44"/>
          <w:highlight w:val="none"/>
        </w:rPr>
        <w:fldChar w:fldCharType="begin"/>
      </w:r>
      <w:r>
        <w:rPr>
          <w:rFonts w:hint="eastAsia" w:ascii="宋体" w:hAnsi="宋体" w:eastAsia="宋体" w:cs="宋体"/>
          <w:color w:val="auto"/>
          <w:sz w:val="36"/>
          <w:szCs w:val="44"/>
          <w:highlight w:val="none"/>
        </w:rPr>
        <w:instrText xml:space="preserve">TOC \o "1-1" \h \u </w:instrText>
      </w:r>
      <w:r>
        <w:rPr>
          <w:rFonts w:hint="eastAsia" w:ascii="宋体" w:hAnsi="宋体" w:eastAsia="宋体" w:cs="宋体"/>
          <w:color w:val="auto"/>
          <w:sz w:val="36"/>
          <w:szCs w:val="44"/>
          <w:highlight w:val="none"/>
        </w:rPr>
        <w:fldChar w:fldCharType="separate"/>
      </w: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_Toc27575 </w:instrText>
      </w:r>
      <w:r>
        <w:rPr>
          <w:rFonts w:hint="eastAsia" w:ascii="宋体" w:hAnsi="宋体" w:eastAsia="宋体" w:cs="宋体"/>
          <w:sz w:val="28"/>
          <w:szCs w:val="44"/>
          <w:highlight w:val="none"/>
        </w:rPr>
        <w:fldChar w:fldCharType="separate"/>
      </w:r>
      <w:r>
        <w:rPr>
          <w:rFonts w:hint="eastAsia" w:ascii="宋体" w:hAnsi="宋体" w:eastAsia="宋体" w:cs="宋体"/>
          <w:kern w:val="2"/>
          <w:sz w:val="28"/>
          <w:szCs w:val="40"/>
          <w:highlight w:val="none"/>
        </w:rPr>
        <w:t>第二章  供应商磋商须知</w:t>
      </w:r>
      <w:r>
        <w:rPr>
          <w:rFonts w:hint="eastAsia" w:ascii="宋体" w:hAnsi="宋体" w:eastAsia="宋体" w:cs="宋体"/>
          <w:sz w:val="28"/>
          <w:szCs w:val="28"/>
        </w:rPr>
        <w:tab/>
      </w:r>
      <w:r>
        <w:rPr>
          <w:rFonts w:hint="eastAsia" w:ascii="宋体" w:hAnsi="宋体" w:eastAsia="宋体" w:cs="宋体"/>
          <w:sz w:val="28"/>
          <w:szCs w:val="28"/>
          <w:lang w:val="en-US" w:eastAsia="zh-CN"/>
        </w:rPr>
        <w:t>5</w:t>
      </w:r>
      <w:r>
        <w:rPr>
          <w:rFonts w:hint="eastAsia" w:ascii="宋体" w:hAnsi="宋体" w:eastAsia="宋体" w:cs="宋体"/>
          <w:color w:val="auto"/>
          <w:sz w:val="28"/>
          <w:szCs w:val="44"/>
          <w:highlight w:val="none"/>
        </w:rPr>
        <w:fldChar w:fldCharType="end"/>
      </w:r>
    </w:p>
    <w:p w14:paraId="092C7E3E">
      <w:pPr>
        <w:pStyle w:val="22"/>
        <w:tabs>
          <w:tab w:val="right" w:leader="dot" w:pos="9524"/>
        </w:tabs>
        <w:rPr>
          <w:rFonts w:hint="eastAsia" w:ascii="宋体" w:hAnsi="宋体" w:eastAsia="宋体" w:cs="宋体"/>
          <w:sz w:val="28"/>
          <w:szCs w:val="28"/>
          <w:lang w:val="en-US" w:eastAsia="zh-CN"/>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_Toc2808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第三章  供应商资格条件要求</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color w:val="auto"/>
          <w:sz w:val="28"/>
          <w:szCs w:val="44"/>
          <w:highlight w:val="none"/>
        </w:rPr>
        <w:fldChar w:fldCharType="end"/>
      </w:r>
      <w:r>
        <w:rPr>
          <w:rFonts w:hint="eastAsia" w:ascii="宋体" w:hAnsi="宋体" w:eastAsia="宋体" w:cs="宋体"/>
          <w:color w:val="auto"/>
          <w:sz w:val="28"/>
          <w:szCs w:val="44"/>
          <w:highlight w:val="none"/>
          <w:lang w:val="en-US" w:eastAsia="zh-CN"/>
        </w:rPr>
        <w:t>7</w:t>
      </w:r>
    </w:p>
    <w:p w14:paraId="08E9BB88">
      <w:pPr>
        <w:pStyle w:val="22"/>
        <w:tabs>
          <w:tab w:val="right" w:leader="dot" w:pos="9524"/>
        </w:tabs>
        <w:rPr>
          <w:rFonts w:hint="eastAsia" w:ascii="宋体" w:hAnsi="宋体" w:eastAsia="宋体" w:cs="宋体"/>
          <w:sz w:val="28"/>
          <w:szCs w:val="28"/>
          <w:lang w:val="en-US" w:eastAsia="zh-CN"/>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_Toc18951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第四章  供应商资格证明材料</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color w:val="auto"/>
          <w:sz w:val="28"/>
          <w:szCs w:val="44"/>
          <w:highlight w:val="none"/>
        </w:rPr>
        <w:fldChar w:fldCharType="end"/>
      </w:r>
      <w:r>
        <w:rPr>
          <w:rFonts w:hint="eastAsia" w:ascii="宋体" w:hAnsi="宋体" w:eastAsia="宋体" w:cs="宋体"/>
          <w:color w:val="auto"/>
          <w:sz w:val="28"/>
          <w:szCs w:val="44"/>
          <w:highlight w:val="none"/>
          <w:lang w:val="en-US" w:eastAsia="zh-CN"/>
        </w:rPr>
        <w:t>8</w:t>
      </w:r>
    </w:p>
    <w:p w14:paraId="32BEFDDA">
      <w:pPr>
        <w:pStyle w:val="22"/>
        <w:tabs>
          <w:tab w:val="right" w:leader="dot" w:pos="9524"/>
        </w:tabs>
        <w:rPr>
          <w:rFonts w:hint="eastAsia" w:ascii="宋体" w:hAnsi="宋体" w:eastAsia="宋体" w:cs="宋体"/>
          <w:sz w:val="28"/>
          <w:szCs w:val="28"/>
          <w:lang w:val="en-US" w:eastAsia="zh-CN"/>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_Toc18322 </w:instrText>
      </w:r>
      <w:r>
        <w:rPr>
          <w:rFonts w:hint="eastAsia" w:ascii="宋体" w:hAnsi="宋体" w:eastAsia="宋体" w:cs="宋体"/>
          <w:sz w:val="28"/>
          <w:szCs w:val="44"/>
          <w:highlight w:val="none"/>
        </w:rPr>
        <w:fldChar w:fldCharType="separate"/>
      </w:r>
      <w:r>
        <w:rPr>
          <w:rFonts w:hint="eastAsia" w:ascii="宋体" w:hAnsi="宋体" w:eastAsia="宋体" w:cs="宋体"/>
          <w:spacing w:val="-20"/>
          <w:sz w:val="28"/>
          <w:szCs w:val="40"/>
          <w:highlight w:val="none"/>
        </w:rPr>
        <w:t>第五章  采购项目技术、服务、政府采购履约主要条款及其他商务要求</w:t>
      </w:r>
      <w:r>
        <w:rPr>
          <w:rFonts w:hint="eastAsia" w:ascii="宋体" w:hAnsi="宋体" w:eastAsia="宋体" w:cs="宋体"/>
          <w:sz w:val="28"/>
          <w:szCs w:val="28"/>
        </w:rPr>
        <w:tab/>
      </w:r>
      <w:r>
        <w:rPr>
          <w:rFonts w:hint="eastAsia" w:ascii="宋体" w:hAnsi="宋体" w:eastAsia="宋体" w:cs="宋体"/>
          <w:sz w:val="28"/>
          <w:szCs w:val="28"/>
          <w:lang w:val="en-US" w:eastAsia="zh-CN"/>
        </w:rPr>
        <w:t>1</w:t>
      </w:r>
      <w:r>
        <w:rPr>
          <w:rFonts w:hint="eastAsia" w:ascii="宋体" w:hAnsi="宋体" w:eastAsia="宋体" w:cs="宋体"/>
          <w:color w:val="auto"/>
          <w:sz w:val="28"/>
          <w:szCs w:val="44"/>
          <w:highlight w:val="none"/>
        </w:rPr>
        <w:fldChar w:fldCharType="end"/>
      </w:r>
      <w:r>
        <w:rPr>
          <w:rFonts w:hint="eastAsia" w:ascii="宋体" w:hAnsi="宋体" w:eastAsia="宋体" w:cs="宋体"/>
          <w:color w:val="auto"/>
          <w:sz w:val="28"/>
          <w:szCs w:val="44"/>
          <w:highlight w:val="none"/>
          <w:lang w:val="en-US" w:eastAsia="zh-CN"/>
        </w:rPr>
        <w:t>9</w:t>
      </w:r>
    </w:p>
    <w:p w14:paraId="2A0A0769">
      <w:pPr>
        <w:pStyle w:val="22"/>
        <w:tabs>
          <w:tab w:val="right" w:leader="dot" w:pos="9524"/>
        </w:tabs>
        <w:rPr>
          <w:rFonts w:hint="eastAsia" w:ascii="宋体" w:hAnsi="宋体" w:eastAsia="宋体" w:cs="宋体"/>
          <w:sz w:val="28"/>
          <w:szCs w:val="28"/>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_Toc11065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第六章  采购项目实质性要求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_Toc11065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color w:val="auto"/>
          <w:sz w:val="28"/>
          <w:szCs w:val="44"/>
          <w:highlight w:val="none"/>
        </w:rPr>
        <w:fldChar w:fldCharType="end"/>
      </w:r>
    </w:p>
    <w:p w14:paraId="473CDCAD">
      <w:pPr>
        <w:pStyle w:val="22"/>
        <w:tabs>
          <w:tab w:val="right" w:leader="dot" w:pos="9524"/>
        </w:tabs>
        <w:rPr>
          <w:rFonts w:hint="eastAsia" w:ascii="宋体" w:hAnsi="宋体" w:eastAsia="宋体" w:cs="宋体"/>
          <w:sz w:val="28"/>
          <w:szCs w:val="28"/>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_Toc1567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第七章  磋商内容、磋商过程中可实质性变动的内容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_Toc1567 \h </w:instrText>
      </w:r>
      <w:r>
        <w:rPr>
          <w:rFonts w:hint="eastAsia" w:ascii="宋体" w:hAnsi="宋体" w:eastAsia="宋体" w:cs="宋体"/>
          <w:sz w:val="28"/>
          <w:szCs w:val="28"/>
        </w:rPr>
        <w:fldChar w:fldCharType="separate"/>
      </w:r>
      <w:r>
        <w:rPr>
          <w:rFonts w:hint="eastAsia" w:ascii="宋体" w:hAnsi="宋体" w:eastAsia="宋体" w:cs="宋体"/>
          <w:sz w:val="28"/>
          <w:szCs w:val="28"/>
        </w:rPr>
        <w:t>23</w:t>
      </w:r>
      <w:r>
        <w:rPr>
          <w:rFonts w:hint="eastAsia" w:ascii="宋体" w:hAnsi="宋体" w:eastAsia="宋体" w:cs="宋体"/>
          <w:sz w:val="28"/>
          <w:szCs w:val="28"/>
        </w:rPr>
        <w:fldChar w:fldCharType="end"/>
      </w:r>
      <w:r>
        <w:rPr>
          <w:rFonts w:hint="eastAsia" w:ascii="宋体" w:hAnsi="宋体" w:eastAsia="宋体" w:cs="宋体"/>
          <w:color w:val="auto"/>
          <w:sz w:val="28"/>
          <w:szCs w:val="44"/>
          <w:highlight w:val="none"/>
        </w:rPr>
        <w:fldChar w:fldCharType="end"/>
      </w:r>
    </w:p>
    <w:p w14:paraId="74C34F93">
      <w:pPr>
        <w:pStyle w:val="22"/>
        <w:tabs>
          <w:tab w:val="right" w:leader="dot" w:pos="9524"/>
        </w:tabs>
        <w:rPr>
          <w:rFonts w:hint="eastAsia" w:ascii="宋体" w:hAnsi="宋体" w:eastAsia="宋体" w:cs="宋体"/>
          <w:sz w:val="28"/>
          <w:szCs w:val="28"/>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_Toc21450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第八章  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_Toc21450 \h </w:instrText>
      </w:r>
      <w:r>
        <w:rPr>
          <w:rFonts w:hint="eastAsia" w:ascii="宋体" w:hAnsi="宋体" w:eastAsia="宋体" w:cs="宋体"/>
          <w:sz w:val="28"/>
          <w:szCs w:val="28"/>
        </w:rPr>
        <w:fldChar w:fldCharType="separate"/>
      </w:r>
      <w:r>
        <w:rPr>
          <w:rFonts w:hint="eastAsia" w:ascii="宋体" w:hAnsi="宋体" w:eastAsia="宋体" w:cs="宋体"/>
          <w:sz w:val="28"/>
          <w:szCs w:val="28"/>
        </w:rPr>
        <w:t>24</w:t>
      </w:r>
      <w:r>
        <w:rPr>
          <w:rFonts w:hint="eastAsia" w:ascii="宋体" w:hAnsi="宋体" w:eastAsia="宋体" w:cs="宋体"/>
          <w:sz w:val="28"/>
          <w:szCs w:val="28"/>
        </w:rPr>
        <w:fldChar w:fldCharType="end"/>
      </w:r>
      <w:r>
        <w:rPr>
          <w:rFonts w:hint="eastAsia" w:ascii="宋体" w:hAnsi="宋体" w:eastAsia="宋体" w:cs="宋体"/>
          <w:color w:val="auto"/>
          <w:sz w:val="28"/>
          <w:szCs w:val="44"/>
          <w:highlight w:val="none"/>
        </w:rPr>
        <w:fldChar w:fldCharType="end"/>
      </w:r>
    </w:p>
    <w:p w14:paraId="3E97C800">
      <w:pPr>
        <w:pStyle w:val="22"/>
        <w:tabs>
          <w:tab w:val="right" w:leader="dot" w:pos="9524"/>
        </w:tabs>
        <w:rPr>
          <w:rFonts w:hint="eastAsia" w:ascii="宋体" w:hAnsi="宋体" w:eastAsia="宋体" w:cs="宋体"/>
          <w:sz w:val="28"/>
          <w:szCs w:val="28"/>
          <w:lang w:val="en-US" w:eastAsia="zh-CN"/>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_Toc16351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第九章  评审方法</w:t>
      </w:r>
      <w:r>
        <w:rPr>
          <w:rFonts w:hint="eastAsia" w:ascii="宋体" w:hAnsi="宋体" w:eastAsia="宋体" w:cs="宋体"/>
          <w:sz w:val="28"/>
          <w:szCs w:val="28"/>
        </w:rPr>
        <w:tab/>
      </w:r>
      <w:r>
        <w:rPr>
          <w:rFonts w:hint="eastAsia" w:ascii="宋体" w:hAnsi="宋体" w:eastAsia="宋体" w:cs="宋体"/>
          <w:sz w:val="28"/>
          <w:szCs w:val="28"/>
          <w:lang w:val="en-US" w:eastAsia="zh-CN"/>
        </w:rPr>
        <w:t>3</w:t>
      </w:r>
      <w:r>
        <w:rPr>
          <w:rFonts w:hint="eastAsia" w:ascii="宋体" w:hAnsi="宋体" w:eastAsia="宋体" w:cs="宋体"/>
          <w:color w:val="auto"/>
          <w:sz w:val="28"/>
          <w:szCs w:val="44"/>
          <w:highlight w:val="none"/>
        </w:rPr>
        <w:fldChar w:fldCharType="end"/>
      </w:r>
      <w:r>
        <w:rPr>
          <w:rFonts w:hint="eastAsia" w:ascii="宋体" w:hAnsi="宋体" w:eastAsia="宋体" w:cs="宋体"/>
          <w:color w:val="auto"/>
          <w:sz w:val="28"/>
          <w:szCs w:val="44"/>
          <w:highlight w:val="none"/>
          <w:lang w:val="en-US" w:eastAsia="zh-CN"/>
        </w:rPr>
        <w:t>9</w:t>
      </w:r>
    </w:p>
    <w:p w14:paraId="3D4D9CC5">
      <w:pPr>
        <w:pStyle w:val="22"/>
        <w:tabs>
          <w:tab w:val="right" w:leader="dot" w:pos="9524"/>
        </w:tabs>
        <w:rPr>
          <w:rFonts w:hint="eastAsia" w:ascii="宋体" w:hAnsi="宋体" w:eastAsia="宋体" w:cs="宋体"/>
          <w:sz w:val="28"/>
          <w:szCs w:val="28"/>
          <w:lang w:val="en-US" w:eastAsia="zh-CN"/>
        </w:rPr>
      </w:pPr>
      <w:r>
        <w:rPr>
          <w:rFonts w:hint="eastAsia" w:ascii="宋体" w:hAnsi="宋体" w:eastAsia="宋体" w:cs="宋体"/>
          <w:color w:val="auto"/>
          <w:sz w:val="28"/>
          <w:szCs w:val="44"/>
          <w:highlight w:val="none"/>
        </w:rPr>
        <w:fldChar w:fldCharType="begin"/>
      </w:r>
      <w:r>
        <w:rPr>
          <w:rFonts w:hint="eastAsia" w:ascii="宋体" w:hAnsi="宋体" w:eastAsia="宋体" w:cs="宋体"/>
          <w:sz w:val="28"/>
          <w:szCs w:val="44"/>
          <w:highlight w:val="none"/>
        </w:rPr>
        <w:instrText xml:space="preserve"> HYPERLINK \l _Toc27601 </w:instrText>
      </w:r>
      <w:r>
        <w:rPr>
          <w:rFonts w:hint="eastAsia" w:ascii="宋体" w:hAnsi="宋体" w:eastAsia="宋体" w:cs="宋体"/>
          <w:sz w:val="28"/>
          <w:szCs w:val="44"/>
          <w:highlight w:val="none"/>
        </w:rPr>
        <w:fldChar w:fldCharType="separate"/>
      </w:r>
      <w:r>
        <w:rPr>
          <w:rFonts w:hint="eastAsia" w:ascii="宋体" w:hAnsi="宋体" w:eastAsia="宋体" w:cs="宋体"/>
          <w:sz w:val="28"/>
          <w:szCs w:val="40"/>
          <w:highlight w:val="none"/>
        </w:rPr>
        <w:t>第十章  采购合同(草案)</w:t>
      </w:r>
      <w:r>
        <w:rPr>
          <w:rFonts w:hint="eastAsia" w:ascii="宋体" w:hAnsi="宋体" w:eastAsia="宋体" w:cs="宋体"/>
          <w:sz w:val="28"/>
          <w:szCs w:val="28"/>
        </w:rPr>
        <w:tab/>
      </w:r>
      <w:r>
        <w:rPr>
          <w:rFonts w:hint="eastAsia" w:ascii="宋体" w:hAnsi="宋体" w:eastAsia="宋体" w:cs="宋体"/>
          <w:sz w:val="28"/>
          <w:szCs w:val="28"/>
          <w:lang w:val="en-US" w:eastAsia="zh-CN"/>
        </w:rPr>
        <w:t>4</w:t>
      </w:r>
      <w:r>
        <w:rPr>
          <w:rFonts w:hint="eastAsia" w:ascii="宋体" w:hAnsi="宋体" w:eastAsia="宋体" w:cs="宋体"/>
          <w:color w:val="auto"/>
          <w:sz w:val="28"/>
          <w:szCs w:val="44"/>
          <w:highlight w:val="none"/>
        </w:rPr>
        <w:fldChar w:fldCharType="end"/>
      </w:r>
      <w:r>
        <w:rPr>
          <w:rFonts w:hint="eastAsia" w:ascii="宋体" w:hAnsi="宋体" w:eastAsia="宋体" w:cs="宋体"/>
          <w:color w:val="auto"/>
          <w:sz w:val="28"/>
          <w:szCs w:val="44"/>
          <w:highlight w:val="none"/>
          <w:lang w:val="en-US" w:eastAsia="zh-CN"/>
        </w:rPr>
        <w:t>6</w:t>
      </w:r>
    </w:p>
    <w:p w14:paraId="047F2630">
      <w:pPr>
        <w:rPr>
          <w:rFonts w:hint="eastAsia" w:ascii="宋体" w:hAnsi="宋体" w:cs="宋体"/>
          <w:color w:val="auto"/>
          <w:szCs w:val="28"/>
          <w:highlight w:val="none"/>
        </w:rPr>
      </w:pPr>
      <w:r>
        <w:rPr>
          <w:rFonts w:hint="eastAsia" w:ascii="宋体" w:hAnsi="宋体" w:eastAsia="宋体" w:cs="宋体"/>
          <w:color w:val="auto"/>
          <w:sz w:val="24"/>
          <w:szCs w:val="44"/>
          <w:highlight w:val="none"/>
        </w:rPr>
        <w:fldChar w:fldCharType="end"/>
      </w:r>
    </w:p>
    <w:p w14:paraId="2A15BD2A">
      <w:pPr>
        <w:adjustRightInd w:val="0"/>
        <w:snapToGrid w:val="0"/>
        <w:spacing w:line="360" w:lineRule="auto"/>
        <w:jc w:val="left"/>
        <w:rPr>
          <w:rFonts w:hint="eastAsia" w:ascii="宋体" w:hAnsi="宋体" w:cs="宋体"/>
          <w:color w:val="auto"/>
          <w:sz w:val="24"/>
          <w:highlight w:val="none"/>
        </w:rPr>
      </w:pPr>
      <w:bookmarkStart w:id="1" w:name="_Toc32693"/>
      <w:bookmarkStart w:id="2" w:name="_Toc18645"/>
      <w:bookmarkStart w:id="3" w:name="_Toc11224"/>
    </w:p>
    <w:p w14:paraId="693E3D1A">
      <w:pPr>
        <w:pStyle w:val="29"/>
        <w:widowControl w:val="0"/>
        <w:adjustRightInd w:val="0"/>
        <w:snapToGrid w:val="0"/>
        <w:spacing w:before="0" w:beforeAutospacing="0" w:after="0" w:afterAutospacing="0" w:line="360" w:lineRule="auto"/>
        <w:ind w:firstLine="360" w:firstLineChars="150"/>
        <w:jc w:val="center"/>
        <w:outlineLvl w:val="0"/>
        <w:rPr>
          <w:rFonts w:hint="eastAsia" w:cs="宋体"/>
          <w:b/>
          <w:color w:val="auto"/>
          <w:highlight w:val="none"/>
        </w:rPr>
      </w:pPr>
      <w:r>
        <w:rPr>
          <w:rFonts w:hint="eastAsia" w:cs="宋体"/>
          <w:color w:val="auto"/>
          <w:sz w:val="24"/>
          <w:highlight w:val="none"/>
        </w:rPr>
        <w:br w:type="page"/>
      </w:r>
      <w:bookmarkStart w:id="4" w:name="_Toc13627"/>
      <w:bookmarkStart w:id="5" w:name="_Toc19760"/>
      <w:bookmarkStart w:id="6" w:name="_Toc13958"/>
      <w:bookmarkStart w:id="7" w:name="_Toc6819"/>
      <w:bookmarkStart w:id="8" w:name="_Toc20022"/>
      <w:bookmarkStart w:id="9" w:name="_Toc401657600"/>
      <w:bookmarkStart w:id="10" w:name="_Toc32144"/>
      <w:r>
        <w:rPr>
          <w:rFonts w:hint="eastAsia" w:cs="宋体"/>
          <w:b/>
          <w:color w:val="auto"/>
          <w:kern w:val="2"/>
          <w:sz w:val="32"/>
          <w:szCs w:val="32"/>
          <w:highlight w:val="none"/>
        </w:rPr>
        <w:t>第一章  竞争性磋商邀请</w:t>
      </w:r>
      <w:bookmarkEnd w:id="1"/>
      <w:bookmarkEnd w:id="2"/>
      <w:bookmarkEnd w:id="3"/>
      <w:bookmarkEnd w:id="4"/>
      <w:bookmarkEnd w:id="5"/>
      <w:bookmarkEnd w:id="6"/>
      <w:bookmarkEnd w:id="7"/>
      <w:bookmarkEnd w:id="8"/>
      <w:bookmarkEnd w:id="9"/>
      <w:bookmarkEnd w:id="10"/>
    </w:p>
    <w:p w14:paraId="66DDF230">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lang w:eastAsia="zh-CN"/>
        </w:rPr>
        <w:t>四川信息职业技术学院工程造价咨询服务采购项目</w:t>
      </w:r>
      <w:r>
        <w:rPr>
          <w:rFonts w:hint="eastAsia" w:ascii="宋体" w:hAnsi="宋体" w:cs="宋体"/>
          <w:bCs/>
          <w:sz w:val="24"/>
        </w:rPr>
        <w:t>参照政府采</w:t>
      </w:r>
      <w:r>
        <w:rPr>
          <w:rFonts w:hint="eastAsia" w:ascii="宋体" w:hAnsi="宋体" w:cs="宋体"/>
          <w:bCs/>
          <w:sz w:val="24"/>
          <w:lang w:eastAsia="zh-CN"/>
        </w:rPr>
        <w:t>购</w:t>
      </w:r>
      <w:r>
        <w:rPr>
          <w:rFonts w:hint="eastAsia" w:ascii="宋体" w:hAnsi="宋体" w:cs="宋体"/>
          <w:color w:val="auto"/>
          <w:sz w:val="24"/>
          <w:highlight w:val="none"/>
        </w:rPr>
        <w:t>竞争性磋商方式进行采购，特邀请符合本次采购要求的供应商参加本项目的竞争性磋商。</w:t>
      </w:r>
    </w:p>
    <w:p w14:paraId="7E55F298">
      <w:pPr>
        <w:overflowPunct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一、采购项目基本情况</w:t>
      </w:r>
    </w:p>
    <w:p w14:paraId="4F0BB0D9">
      <w:pPr>
        <w:overflowPunct w:val="0"/>
        <w:spacing w:line="360" w:lineRule="auto"/>
        <w:ind w:firstLine="480" w:firstLineChars="200"/>
        <w:rPr>
          <w:rFonts w:hint="eastAsia" w:ascii="宋体" w:hAnsi="宋体" w:cs="宋体"/>
          <w:color w:val="auto"/>
          <w:sz w:val="24"/>
          <w:highlight w:val="cyan"/>
          <w:lang w:eastAsia="zh-CN"/>
        </w:rPr>
      </w:pPr>
      <w:r>
        <w:rPr>
          <w:rFonts w:hint="eastAsia" w:ascii="宋体" w:hAnsi="宋体" w:cs="宋体"/>
          <w:color w:val="auto"/>
          <w:sz w:val="24"/>
          <w:highlight w:val="none"/>
        </w:rPr>
        <w:t>1.项目编号：</w:t>
      </w:r>
      <w:r>
        <w:rPr>
          <w:rFonts w:hint="eastAsia" w:ascii="宋体" w:hAnsi="宋体" w:cs="宋体"/>
          <w:color w:val="auto"/>
          <w:sz w:val="24"/>
          <w:highlight w:val="none"/>
          <w:lang w:eastAsia="zh-CN"/>
        </w:rPr>
        <w:t>202607SJ002</w:t>
      </w:r>
    </w:p>
    <w:p w14:paraId="0F6E8DDD">
      <w:pPr>
        <w:overflowPunct w:val="0"/>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2.项目名称：</w:t>
      </w:r>
      <w:r>
        <w:rPr>
          <w:rFonts w:hint="eastAsia" w:ascii="宋体" w:hAnsi="宋体" w:cs="宋体"/>
          <w:color w:val="auto"/>
          <w:sz w:val="24"/>
          <w:highlight w:val="none"/>
          <w:lang w:eastAsia="zh-CN"/>
        </w:rPr>
        <w:t>四川信息职业技术学院工程造价咨询服务采购项目</w:t>
      </w:r>
    </w:p>
    <w:p w14:paraId="4849636D">
      <w:pPr>
        <w:overflowPunct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3.采购人：</w:t>
      </w:r>
      <w:r>
        <w:rPr>
          <w:rFonts w:hint="eastAsia" w:ascii="宋体" w:hAnsi="宋体" w:cs="宋体"/>
          <w:color w:val="auto"/>
          <w:sz w:val="24"/>
          <w:highlight w:val="none"/>
          <w:lang w:eastAsia="zh-CN"/>
        </w:rPr>
        <w:t>四川信息职业技术学院</w:t>
      </w:r>
    </w:p>
    <w:p w14:paraId="78365524">
      <w:pPr>
        <w:overflowPunct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二、资金情况</w:t>
      </w:r>
    </w:p>
    <w:p w14:paraId="740A2EC6">
      <w:pPr>
        <w:overflowPunct w:val="0"/>
        <w:spacing w:line="360" w:lineRule="auto"/>
        <w:ind w:firstLine="480" w:firstLineChars="200"/>
        <w:rPr>
          <w:rFonts w:hint="eastAsia" w:ascii="宋体" w:hAnsi="宋体" w:eastAsia="宋体" w:cs="宋体"/>
          <w:b w:val="0"/>
          <w:bCs w:val="0"/>
          <w:color w:val="auto"/>
          <w:sz w:val="24"/>
          <w:highlight w:val="none"/>
          <w:lang w:val="en" w:eastAsia="zh-CN"/>
        </w:rPr>
      </w:pPr>
      <w:r>
        <w:rPr>
          <w:rFonts w:hint="eastAsia" w:ascii="宋体" w:hAnsi="宋体" w:cs="宋体"/>
          <w:b w:val="0"/>
          <w:bCs w:val="0"/>
          <w:color w:val="auto"/>
          <w:sz w:val="24"/>
          <w:highlight w:val="none"/>
        </w:rPr>
        <w:t>资金预算：</w:t>
      </w:r>
      <w:r>
        <w:rPr>
          <w:rFonts w:hint="eastAsia" w:ascii="宋体" w:hAnsi="宋体" w:eastAsia="宋体" w:cs="宋体"/>
          <w:b w:val="0"/>
          <w:bCs w:val="0"/>
          <w:color w:val="auto"/>
          <w:sz w:val="24"/>
          <w:highlight w:val="none"/>
          <w:lang w:val="en" w:eastAsia="zh-CN"/>
        </w:rPr>
        <w:t>与采购预算（最高响应限价）保持一致，依据川价发〔2008〕141 号文对应服务基准收费标准下浮 40% 计算。</w:t>
      </w:r>
    </w:p>
    <w:p w14:paraId="3020D045">
      <w:pPr>
        <w:overflowPunct w:val="0"/>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三</w:t>
      </w:r>
      <w:r>
        <w:rPr>
          <w:rFonts w:hint="eastAsia" w:ascii="宋体" w:hAnsi="宋体" w:cs="宋体"/>
          <w:b/>
          <w:bCs/>
          <w:color w:val="auto"/>
          <w:sz w:val="24"/>
          <w:highlight w:val="none"/>
        </w:rPr>
        <w:t>、采购项目简介</w:t>
      </w:r>
    </w:p>
    <w:p w14:paraId="4E8EF3A3">
      <w:pPr>
        <w:overflowPunct w:val="0"/>
        <w:spacing w:line="360" w:lineRule="auto"/>
        <w:ind w:firstLine="480" w:firstLineChars="200"/>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详见磋商文件第五章。</w:t>
      </w:r>
    </w:p>
    <w:p w14:paraId="6031293A">
      <w:pPr>
        <w:overflowPunct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四、供应商邀请方式</w:t>
      </w:r>
    </w:p>
    <w:p w14:paraId="1FC3C1A4">
      <w:pPr>
        <w:overflowPunct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rPr>
        <w:t>公告方式：本次竞争性磋商邀请邀请在四川信息职业技术学院（http://www.scitc.com.cn/）主页通知公告栏发布。</w:t>
      </w:r>
    </w:p>
    <w:p w14:paraId="4971FBAB">
      <w:pPr>
        <w:overflowPunct w:val="0"/>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五、供应商参加本次政府采购活动，应当在提交响应文件前具备下列条件：</w:t>
      </w:r>
    </w:p>
    <w:p w14:paraId="637F74C4">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1.符合《中华人民共和国政府采购法》第二十二条规定的供应商资格条件：</w:t>
      </w:r>
    </w:p>
    <w:p w14:paraId="176C3A63">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7EF0B8A2">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62A0ACE0">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66A05BCD">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AB78AD7">
      <w:pPr>
        <w:overflowPunct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（5）参加政府采购活动前三年内，在经营活动中没有违法记录</w:t>
      </w:r>
      <w:r>
        <w:rPr>
          <w:rFonts w:hint="eastAsia" w:ascii="宋体" w:hAnsi="宋体" w:cs="宋体"/>
          <w:color w:val="auto"/>
          <w:sz w:val="24"/>
          <w:highlight w:val="none"/>
          <w:lang w:eastAsia="zh-CN"/>
        </w:rPr>
        <w:t>；</w:t>
      </w:r>
    </w:p>
    <w:p w14:paraId="2DF61B45">
      <w:pPr>
        <w:overflowPunct w:val="0"/>
        <w:spacing w:line="360" w:lineRule="auto"/>
        <w:ind w:firstLine="480" w:firstLineChars="200"/>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rPr>
        <w:t>（6）法律、行政法规规定的其他条件</w:t>
      </w:r>
      <w:r>
        <w:rPr>
          <w:rFonts w:hint="eastAsia" w:ascii="宋体" w:hAnsi="宋体" w:cs="宋体"/>
          <w:bCs/>
          <w:color w:val="auto"/>
          <w:sz w:val="24"/>
          <w:highlight w:val="none"/>
          <w:lang w:eastAsia="zh-CN"/>
        </w:rPr>
        <w:t>。</w:t>
      </w:r>
    </w:p>
    <w:p w14:paraId="396E3CF7">
      <w:pPr>
        <w:overflowPunct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rPr>
        <w:t>.本项目是否接受联合体投标：</w:t>
      </w:r>
      <w:r>
        <w:rPr>
          <w:rFonts w:hint="eastAsia" w:ascii="宋体" w:hAnsi="宋体" w:cs="宋体"/>
          <w:bCs/>
          <w:color w:val="auto"/>
          <w:sz w:val="24"/>
          <w:highlight w:val="none"/>
        </w:rPr>
        <w:sym w:font="Wingdings" w:char="00A8"/>
      </w:r>
      <w:r>
        <w:rPr>
          <w:rFonts w:hint="eastAsia" w:ascii="宋体" w:hAnsi="宋体" w:cs="宋体"/>
          <w:bCs/>
          <w:color w:val="auto"/>
          <w:sz w:val="24"/>
          <w:highlight w:val="none"/>
        </w:rPr>
        <w:t>是</w:t>
      </w:r>
      <w:r>
        <w:rPr>
          <w:rFonts w:hint="eastAsia" w:ascii="宋体" w:hAnsi="宋体" w:cs="宋体"/>
          <w:bCs/>
          <w:color w:val="auto"/>
          <w:sz w:val="24"/>
          <w:highlight w:val="none"/>
        </w:rPr>
        <w:sym w:font="Wingdings" w:char="00FE"/>
      </w:r>
      <w:r>
        <w:rPr>
          <w:rFonts w:hint="eastAsia" w:ascii="宋体" w:hAnsi="宋体" w:cs="宋体"/>
          <w:bCs/>
          <w:color w:val="auto"/>
          <w:sz w:val="24"/>
          <w:highlight w:val="none"/>
        </w:rPr>
        <w:t>否；</w:t>
      </w:r>
    </w:p>
    <w:p w14:paraId="516E6A01">
      <w:pPr>
        <w:spacing w:after="156" w:afterLines="50"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.本项目是否专门面对中小企业：</w:t>
      </w:r>
      <w:r>
        <w:rPr>
          <w:rFonts w:hint="eastAsia" w:ascii="宋体" w:hAnsi="宋体" w:cs="宋体"/>
          <w:bCs/>
          <w:color w:val="auto"/>
          <w:sz w:val="24"/>
          <w:highlight w:val="none"/>
        </w:rPr>
        <w:sym w:font="Wingdings" w:char="00A8"/>
      </w:r>
      <w:r>
        <w:rPr>
          <w:rFonts w:hint="eastAsia" w:ascii="宋体" w:hAnsi="宋体" w:cs="宋体"/>
          <w:bCs/>
          <w:color w:val="auto"/>
          <w:sz w:val="24"/>
          <w:highlight w:val="none"/>
        </w:rPr>
        <w:t>是</w:t>
      </w:r>
      <w:r>
        <w:rPr>
          <w:rFonts w:hint="eastAsia" w:ascii="宋体" w:hAnsi="宋体" w:cs="宋体"/>
          <w:bCs/>
          <w:color w:val="auto"/>
          <w:sz w:val="24"/>
          <w:highlight w:val="none"/>
        </w:rPr>
        <w:sym w:font="Wingdings" w:char="00FE"/>
      </w:r>
      <w:r>
        <w:rPr>
          <w:rFonts w:hint="eastAsia" w:ascii="宋体" w:hAnsi="宋体" w:cs="宋体"/>
          <w:bCs/>
          <w:color w:val="auto"/>
          <w:sz w:val="24"/>
          <w:highlight w:val="none"/>
        </w:rPr>
        <w:t>否；</w:t>
      </w:r>
    </w:p>
    <w:p w14:paraId="3E672E3E">
      <w:pPr>
        <w:spacing w:after="156" w:afterLines="50" w:line="360" w:lineRule="auto"/>
        <w:ind w:firstLine="480" w:firstLineChars="200"/>
        <w:rPr>
          <w:rFonts w:hint="eastAsia"/>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供应商不得为“信用中国”网站（www.creditchina.gov.cn）中列入失信被执行人和重大税收违法案件当事人名单的供应商，不得为中国政府采购网（www.ccgp.gov.cn）政府采购严重违法失信行为记录名单中被财政部门禁止参加政府采购活动的供应商。</w:t>
      </w:r>
    </w:p>
    <w:p w14:paraId="17CBDCC5">
      <w:pPr>
        <w:pStyle w:val="66"/>
        <w:ind w:firstLine="561" w:firstLineChars="233"/>
        <w:rPr>
          <w:rFonts w:hint="eastAsia" w:ascii="宋体" w:hAnsi="宋体" w:cs="宋体"/>
          <w:b/>
          <w:color w:val="auto"/>
          <w:sz w:val="24"/>
          <w:highlight w:val="none"/>
        </w:rPr>
      </w:pPr>
      <w:r>
        <w:rPr>
          <w:rFonts w:hint="eastAsia" w:ascii="宋体" w:hAnsi="宋体" w:cs="宋体"/>
          <w:b/>
          <w:color w:val="auto"/>
          <w:sz w:val="24"/>
          <w:highlight w:val="none"/>
        </w:rPr>
        <w:t>六、禁止参加本次采购活动的供应商</w:t>
      </w:r>
    </w:p>
    <w:p w14:paraId="63255BAA">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根据《关于在政府采购活动中查询及使用信用记录有关问题的通知》（财库〔2016〕125号）的要求，采购代理机构将通过“中国执行信息公开网”网站（http://zxgk.court.gov.cn）、“信用中国”网站（www.creditchina.gov.cn）、“中国政府采购网”网站（www.ccgp.gov.cn）等渠道查询供应商在采购公告发布之日前的信用记录并保存信用记录结果网页截图，拒绝列入失信被执行人名单、重大税收违法案件当事人名单、政府采购严重违法失信行为记录名单中的供应商报名参加本项目的采购活动。</w:t>
      </w:r>
    </w:p>
    <w:p w14:paraId="46FE3679">
      <w:pPr>
        <w:overflowPunct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为采购项目提供整体设计、规范编制或者项目管理、监理、检测等服务的供应商，不得参加本采购项目。供应商为采购人、采购代理机构在确定采购需求、编制磋商文件过程中提供咨询论证，其提供的咨询论证意见成为磋商文件中规定的供应商资格条件、技术服务商务要求、评审因素和标准、采购合同等实质性内容条款的，视同为采购项目提供规范编制。</w:t>
      </w:r>
    </w:p>
    <w:p w14:paraId="7E1858A8">
      <w:pPr>
        <w:overflowPunct w:val="0"/>
        <w:spacing w:line="360" w:lineRule="auto"/>
        <w:ind w:firstLine="482" w:firstLineChars="200"/>
        <w:rPr>
          <w:rFonts w:hint="eastAsia" w:ascii="宋体" w:hAnsi="宋体" w:cs="宋体"/>
          <w:color w:val="auto"/>
          <w:sz w:val="24"/>
          <w:highlight w:val="none"/>
        </w:rPr>
      </w:pPr>
      <w:bookmarkStart w:id="11" w:name="_Toc14893"/>
      <w:r>
        <w:rPr>
          <w:rFonts w:hint="eastAsia" w:ascii="宋体" w:hAnsi="宋体" w:cs="宋体"/>
          <w:b/>
          <w:bCs/>
          <w:color w:val="auto"/>
          <w:sz w:val="24"/>
          <w:highlight w:val="none"/>
        </w:rPr>
        <w:t>七、磋商文件获取方式、时间、地点</w:t>
      </w:r>
    </w:p>
    <w:p w14:paraId="7A8A26CB">
      <w:pPr>
        <w:overflowPunct w:val="0"/>
        <w:spacing w:line="360" w:lineRule="auto"/>
        <w:ind w:firstLine="480" w:firstLineChars="200"/>
        <w:rPr>
          <w:rFonts w:hint="eastAsia" w:ascii="宋体" w:hAnsi="宋体" w:cs="宋体"/>
          <w:color w:val="auto"/>
          <w:sz w:val="24"/>
          <w:szCs w:val="18"/>
          <w:highlight w:val="none"/>
        </w:rPr>
      </w:pPr>
      <w:r>
        <w:rPr>
          <w:rFonts w:hint="eastAsia" w:ascii="宋体" w:hAnsi="宋体" w:cs="宋体"/>
          <w:color w:val="auto"/>
          <w:sz w:val="24"/>
          <w:szCs w:val="18"/>
          <w:highlight w:val="none"/>
          <w:lang w:val="en-US" w:eastAsia="zh-CN"/>
        </w:rPr>
        <w:t>1.</w:t>
      </w:r>
      <w:r>
        <w:rPr>
          <w:rFonts w:hint="eastAsia" w:ascii="宋体" w:hAnsi="宋体" w:cs="宋体"/>
          <w:color w:val="auto"/>
          <w:sz w:val="24"/>
          <w:szCs w:val="18"/>
          <w:highlight w:val="none"/>
        </w:rPr>
        <w:t>获取时间：【202</w:t>
      </w:r>
      <w:r>
        <w:rPr>
          <w:rFonts w:hint="eastAsia" w:ascii="宋体" w:hAnsi="宋体" w:cs="宋体"/>
          <w:color w:val="auto"/>
          <w:sz w:val="24"/>
          <w:szCs w:val="18"/>
          <w:highlight w:val="none"/>
          <w:lang w:val="en-US" w:eastAsia="zh-CN"/>
        </w:rPr>
        <w:t>6</w:t>
      </w:r>
      <w:r>
        <w:rPr>
          <w:rFonts w:hint="eastAsia" w:ascii="宋体" w:hAnsi="宋体" w:cs="宋体"/>
          <w:color w:val="auto"/>
          <w:sz w:val="24"/>
          <w:szCs w:val="18"/>
          <w:highlight w:val="none"/>
        </w:rPr>
        <w:t xml:space="preserve"> 年</w:t>
      </w:r>
      <w:r>
        <w:rPr>
          <w:rFonts w:hint="eastAsia" w:ascii="宋体" w:hAnsi="宋体" w:cs="宋体"/>
          <w:color w:val="auto"/>
          <w:sz w:val="24"/>
          <w:szCs w:val="18"/>
          <w:highlight w:val="none"/>
          <w:lang w:val="en-US" w:eastAsia="zh-CN"/>
        </w:rPr>
        <w:t>7</w:t>
      </w:r>
      <w:r>
        <w:rPr>
          <w:rFonts w:hint="eastAsia" w:ascii="宋体" w:hAnsi="宋体" w:cs="宋体"/>
          <w:color w:val="auto"/>
          <w:sz w:val="24"/>
          <w:szCs w:val="18"/>
          <w:highlight w:val="none"/>
        </w:rPr>
        <w:t>月</w:t>
      </w:r>
      <w:r>
        <w:rPr>
          <w:rFonts w:hint="eastAsia" w:ascii="宋体" w:hAnsi="宋体" w:cs="宋体"/>
          <w:color w:val="auto"/>
          <w:sz w:val="24"/>
          <w:szCs w:val="18"/>
          <w:highlight w:val="none"/>
          <w:lang w:val="en-US" w:eastAsia="zh-CN"/>
        </w:rPr>
        <w:t>10</w:t>
      </w:r>
      <w:r>
        <w:rPr>
          <w:rFonts w:hint="eastAsia" w:ascii="宋体" w:hAnsi="宋体" w:cs="宋体"/>
          <w:color w:val="auto"/>
          <w:sz w:val="24"/>
          <w:szCs w:val="18"/>
          <w:highlight w:val="none"/>
        </w:rPr>
        <w:t xml:space="preserve">日 </w:t>
      </w:r>
      <w:r>
        <w:rPr>
          <w:rFonts w:hint="eastAsia" w:ascii="宋体" w:hAnsi="宋体" w:cs="宋体"/>
          <w:color w:val="auto"/>
          <w:sz w:val="24"/>
          <w:szCs w:val="18"/>
          <w:highlight w:val="none"/>
          <w:lang w:val="en-US" w:eastAsia="zh-CN"/>
        </w:rPr>
        <w:t>09</w:t>
      </w:r>
      <w:r>
        <w:rPr>
          <w:rFonts w:hint="eastAsia" w:ascii="宋体" w:hAnsi="宋体" w:cs="宋体"/>
          <w:color w:val="auto"/>
          <w:sz w:val="24"/>
          <w:szCs w:val="18"/>
          <w:highlight w:val="none"/>
        </w:rPr>
        <w:t>:00】至【202</w:t>
      </w:r>
      <w:r>
        <w:rPr>
          <w:rFonts w:hint="eastAsia" w:ascii="宋体" w:hAnsi="宋体" w:cs="宋体"/>
          <w:color w:val="auto"/>
          <w:sz w:val="24"/>
          <w:szCs w:val="18"/>
          <w:highlight w:val="none"/>
          <w:lang w:val="en-US" w:eastAsia="zh-CN"/>
        </w:rPr>
        <w:t>6</w:t>
      </w:r>
      <w:r>
        <w:rPr>
          <w:rFonts w:hint="eastAsia" w:ascii="宋体" w:hAnsi="宋体" w:cs="宋体"/>
          <w:color w:val="auto"/>
          <w:sz w:val="24"/>
          <w:szCs w:val="18"/>
          <w:highlight w:val="none"/>
        </w:rPr>
        <w:t xml:space="preserve"> 年</w:t>
      </w:r>
      <w:r>
        <w:rPr>
          <w:rFonts w:hint="eastAsia" w:ascii="宋体" w:hAnsi="宋体" w:cs="宋体"/>
          <w:color w:val="auto"/>
          <w:sz w:val="24"/>
          <w:szCs w:val="18"/>
          <w:highlight w:val="none"/>
          <w:lang w:val="en-US" w:eastAsia="zh-CN"/>
        </w:rPr>
        <w:t>7</w:t>
      </w:r>
      <w:r>
        <w:rPr>
          <w:rFonts w:hint="eastAsia" w:ascii="宋体" w:hAnsi="宋体" w:cs="宋体"/>
          <w:color w:val="auto"/>
          <w:sz w:val="24"/>
          <w:szCs w:val="18"/>
          <w:highlight w:val="none"/>
        </w:rPr>
        <w:t>月</w:t>
      </w:r>
      <w:r>
        <w:rPr>
          <w:rFonts w:hint="eastAsia" w:ascii="宋体" w:hAnsi="宋体" w:cs="宋体"/>
          <w:color w:val="auto"/>
          <w:sz w:val="24"/>
          <w:szCs w:val="18"/>
          <w:highlight w:val="none"/>
          <w:lang w:val="en-US" w:eastAsia="zh-CN"/>
        </w:rPr>
        <w:t>16</w:t>
      </w:r>
      <w:r>
        <w:rPr>
          <w:rFonts w:hint="eastAsia" w:ascii="宋体" w:hAnsi="宋体" w:cs="宋体"/>
          <w:color w:val="auto"/>
          <w:sz w:val="24"/>
          <w:szCs w:val="18"/>
          <w:highlight w:val="none"/>
        </w:rPr>
        <w:t xml:space="preserve">日 </w:t>
      </w:r>
      <w:r>
        <w:rPr>
          <w:rFonts w:hint="eastAsia" w:ascii="宋体" w:hAnsi="宋体" w:cs="宋体"/>
          <w:color w:val="auto"/>
          <w:sz w:val="24"/>
          <w:szCs w:val="18"/>
          <w:highlight w:val="none"/>
          <w:lang w:val="en-US" w:eastAsia="zh-CN"/>
        </w:rPr>
        <w:t>09</w:t>
      </w:r>
      <w:r>
        <w:rPr>
          <w:rFonts w:hint="eastAsia" w:ascii="宋体" w:hAnsi="宋体" w:cs="宋体"/>
          <w:color w:val="auto"/>
          <w:sz w:val="24"/>
          <w:szCs w:val="18"/>
          <w:highlight w:val="none"/>
        </w:rPr>
        <w:t>:00】（北京时间，法定节假日除外）</w:t>
      </w:r>
      <w:bookmarkStart w:id="126" w:name="_GoBack"/>
      <w:bookmarkEnd w:id="126"/>
    </w:p>
    <w:p w14:paraId="62E80997">
      <w:pPr>
        <w:overflowPunct w:val="0"/>
        <w:spacing w:line="360" w:lineRule="auto"/>
        <w:ind w:firstLine="480" w:firstLineChars="200"/>
        <w:rPr>
          <w:rFonts w:hint="default" w:ascii="宋体" w:hAnsi="宋体" w:cs="宋体"/>
          <w:color w:val="auto"/>
          <w:sz w:val="24"/>
          <w:szCs w:val="18"/>
          <w:highlight w:val="none"/>
          <w:lang w:val="en-US"/>
        </w:rPr>
      </w:pPr>
      <w:r>
        <w:rPr>
          <w:rFonts w:hint="eastAsia" w:ascii="宋体" w:hAnsi="宋体" w:cs="宋体"/>
          <w:color w:val="auto"/>
          <w:sz w:val="24"/>
          <w:szCs w:val="18"/>
          <w:highlight w:val="none"/>
          <w:lang w:val="en-US" w:eastAsia="zh-CN"/>
        </w:rPr>
        <w:t>2.</w:t>
      </w:r>
      <w:r>
        <w:rPr>
          <w:rFonts w:hint="eastAsia" w:ascii="宋体" w:hAnsi="宋体" w:cs="宋体"/>
          <w:color w:val="auto"/>
          <w:sz w:val="24"/>
          <w:szCs w:val="18"/>
          <w:highlight w:val="none"/>
        </w:rPr>
        <w:t>获取地点：</w:t>
      </w:r>
      <w:r>
        <w:rPr>
          <w:rFonts w:hint="eastAsia" w:ascii="宋体" w:hAnsi="宋体" w:cs="宋体"/>
          <w:color w:val="auto"/>
          <w:sz w:val="24"/>
          <w:highlight w:val="none"/>
          <w:lang w:eastAsia="zh-CN"/>
        </w:rPr>
        <w:t>四川信息职业技术学院</w:t>
      </w:r>
      <w:r>
        <w:rPr>
          <w:rFonts w:hint="eastAsia" w:ascii="宋体" w:hAnsi="宋体" w:cs="宋体"/>
          <w:color w:val="auto"/>
          <w:sz w:val="24"/>
          <w:szCs w:val="18"/>
          <w:highlight w:val="none"/>
        </w:rPr>
        <w:t>官网</w:t>
      </w:r>
      <w:r>
        <w:rPr>
          <w:rFonts w:hint="eastAsia" w:ascii="宋体" w:hAnsi="宋体" w:cs="宋体"/>
          <w:color w:val="auto"/>
          <w:sz w:val="24"/>
          <w:szCs w:val="18"/>
          <w:highlight w:val="none"/>
          <w:lang w:val="en-US" w:eastAsia="zh-CN"/>
        </w:rPr>
        <w:t>主页</w:t>
      </w:r>
      <w:r>
        <w:rPr>
          <w:rFonts w:hint="eastAsia" w:ascii="宋体" w:hAnsi="宋体" w:cs="宋体"/>
          <w:color w:val="auto"/>
          <w:sz w:val="24"/>
          <w:szCs w:val="18"/>
          <w:highlight w:val="none"/>
        </w:rPr>
        <w:t xml:space="preserve">（www.scitc.edu.cn）→ </w:t>
      </w:r>
      <w:r>
        <w:rPr>
          <w:rFonts w:hint="eastAsia" w:ascii="宋体" w:hAnsi="宋体" w:cs="宋体"/>
          <w:b/>
          <w:bCs/>
          <w:color w:val="auto"/>
          <w:sz w:val="24"/>
          <w:szCs w:val="18"/>
          <w:highlight w:val="none"/>
          <w:u w:val="single"/>
          <w:lang w:val="en-US" w:eastAsia="zh-CN"/>
        </w:rPr>
        <w:t>通知公告</w:t>
      </w:r>
      <w:r>
        <w:rPr>
          <w:rFonts w:hint="eastAsia" w:ascii="宋体" w:hAnsi="宋体" w:cs="宋体"/>
          <w:b/>
          <w:bCs/>
          <w:color w:val="auto"/>
          <w:sz w:val="24"/>
          <w:szCs w:val="18"/>
          <w:highlight w:val="none"/>
          <w:u w:val="none"/>
          <w:lang w:val="en-US" w:eastAsia="zh-CN"/>
        </w:rPr>
        <w:t>栏。</w:t>
      </w:r>
    </w:p>
    <w:p w14:paraId="0D77DC56">
      <w:pPr>
        <w:overflowPunct w:val="0"/>
        <w:spacing w:line="360" w:lineRule="auto"/>
        <w:ind w:firstLine="480" w:firstLineChars="200"/>
        <w:rPr>
          <w:rFonts w:hint="eastAsia" w:ascii="宋体" w:hAnsi="宋体" w:cs="宋体"/>
          <w:color w:val="auto"/>
          <w:sz w:val="24"/>
          <w:szCs w:val="18"/>
          <w:highlight w:val="none"/>
        </w:rPr>
      </w:pPr>
      <w:r>
        <w:rPr>
          <w:rFonts w:hint="eastAsia" w:ascii="宋体" w:hAnsi="宋体" w:cs="宋体"/>
          <w:color w:val="auto"/>
          <w:sz w:val="24"/>
          <w:szCs w:val="18"/>
          <w:highlight w:val="none"/>
          <w:lang w:val="en-US" w:eastAsia="zh-CN"/>
        </w:rPr>
        <w:t>3.</w:t>
      </w:r>
      <w:r>
        <w:rPr>
          <w:rFonts w:hint="eastAsia" w:ascii="宋体" w:hAnsi="宋体" w:cs="宋体"/>
          <w:color w:val="auto"/>
          <w:sz w:val="24"/>
          <w:szCs w:val="18"/>
          <w:highlight w:val="none"/>
        </w:rPr>
        <w:t>获取方式：供应商自行在上述栏目下载磋商文件及相关附件</w:t>
      </w:r>
    </w:p>
    <w:p w14:paraId="5C0B702C">
      <w:pPr>
        <w:overflowPunct w:val="0"/>
        <w:spacing w:line="360" w:lineRule="auto"/>
        <w:ind w:firstLine="480" w:firstLineChars="200"/>
        <w:rPr>
          <w:rFonts w:hint="eastAsia" w:ascii="宋体" w:hAnsi="宋体" w:cs="宋体"/>
          <w:b/>
          <w:color w:val="auto"/>
          <w:sz w:val="24"/>
          <w:highlight w:val="none"/>
        </w:rPr>
      </w:pPr>
      <w:r>
        <w:rPr>
          <w:rFonts w:hint="eastAsia" w:ascii="宋体" w:hAnsi="宋体" w:cs="宋体"/>
          <w:color w:val="auto"/>
          <w:sz w:val="24"/>
          <w:szCs w:val="18"/>
          <w:highlight w:val="none"/>
          <w:lang w:val="en-US" w:eastAsia="zh-CN"/>
        </w:rPr>
        <w:t>4.</w:t>
      </w:r>
      <w:r>
        <w:rPr>
          <w:rFonts w:hint="eastAsia" w:ascii="宋体" w:hAnsi="宋体" w:cs="宋体"/>
          <w:color w:val="auto"/>
          <w:sz w:val="24"/>
          <w:szCs w:val="18"/>
          <w:highlight w:val="none"/>
        </w:rPr>
        <w:t>文件费用：本项目不收取磋商文件工本费</w:t>
      </w:r>
    </w:p>
    <w:p w14:paraId="5E5F9E92">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八、递交响应文件截止时间：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7</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 xml:space="preserve"> 23 </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val="en-US" w:eastAsia="zh-CN"/>
        </w:rPr>
        <w:t xml:space="preserve"> 上午9:00</w:t>
      </w:r>
      <w:r>
        <w:rPr>
          <w:rFonts w:hint="eastAsia" w:ascii="宋体" w:hAnsi="宋体" w:cs="宋体"/>
          <w:color w:val="auto"/>
          <w:sz w:val="24"/>
          <w:highlight w:val="none"/>
          <w:u w:val="single"/>
        </w:rPr>
        <w:t>（北京时间）</w:t>
      </w:r>
    </w:p>
    <w:p w14:paraId="073173C2">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cs="宋体"/>
          <w:color w:val="auto"/>
          <w:sz w:val="24"/>
          <w:highlight w:val="none"/>
        </w:rPr>
      </w:pPr>
      <w:r>
        <w:rPr>
          <w:rFonts w:hint="eastAsia" w:ascii="宋体" w:hAnsi="宋体" w:cs="宋体"/>
          <w:b/>
          <w:color w:val="auto"/>
          <w:sz w:val="24"/>
          <w:highlight w:val="none"/>
        </w:rPr>
        <w:t>九、递交响应文件地点：</w:t>
      </w:r>
      <w:r>
        <w:rPr>
          <w:rFonts w:hint="eastAsia" w:ascii="宋体" w:hAnsi="宋体" w:cs="宋体"/>
          <w:color w:val="auto"/>
          <w:sz w:val="24"/>
          <w:highlight w:val="none"/>
        </w:rPr>
        <w:t>广元市利州区学府路265号综合楼0903室。</w:t>
      </w:r>
    </w:p>
    <w:p w14:paraId="3D360848">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十、响应文件开启时间及磋商时间：</w:t>
      </w:r>
      <w:r>
        <w:rPr>
          <w:rFonts w:hint="eastAsia" w:ascii="宋体" w:hAnsi="宋体" w:cs="宋体"/>
          <w:color w:val="auto"/>
          <w:sz w:val="24"/>
          <w:highlight w:val="none"/>
        </w:rPr>
        <w:t>同递交响应文件截止时间</w:t>
      </w:r>
    </w:p>
    <w:p w14:paraId="59EE1A97">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cs="宋体"/>
          <w:color w:val="auto"/>
          <w:sz w:val="24"/>
          <w:highlight w:val="yellow"/>
        </w:rPr>
      </w:pPr>
      <w:r>
        <w:rPr>
          <w:rFonts w:hint="eastAsia" w:ascii="宋体" w:hAnsi="宋体" w:cs="宋体"/>
          <w:b/>
          <w:color w:val="auto"/>
          <w:sz w:val="24"/>
          <w:highlight w:val="none"/>
        </w:rPr>
        <w:t>十一、磋商地点：</w:t>
      </w:r>
      <w:r>
        <w:rPr>
          <w:rFonts w:hint="eastAsia" w:ascii="宋体" w:hAnsi="宋体" w:cs="宋体"/>
          <w:color w:val="auto"/>
          <w:sz w:val="24"/>
          <w:highlight w:val="none"/>
        </w:rPr>
        <w:t>广元市利州区学府路265号综合楼0903室。</w:t>
      </w:r>
    </w:p>
    <w:p w14:paraId="4215B41E">
      <w:pPr>
        <w:keepNext w:val="0"/>
        <w:keepLines w:val="0"/>
        <w:pageBreakBefore w:val="0"/>
        <w:widowControl w:val="0"/>
        <w:kinsoku/>
        <w:wordWrap/>
        <w:overflowPunct w:val="0"/>
        <w:topLinePunct w:val="0"/>
        <w:autoSpaceDE/>
        <w:autoSpaceDN/>
        <w:bidi w:val="0"/>
        <w:adjustRightInd/>
        <w:snapToGrid/>
        <w:spacing w:line="360" w:lineRule="auto"/>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十二、联系方式</w:t>
      </w:r>
    </w:p>
    <w:p w14:paraId="202870D9">
      <w:pPr>
        <w:overflowPunct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1.采购人：</w:t>
      </w:r>
      <w:r>
        <w:rPr>
          <w:rFonts w:hint="eastAsia" w:ascii="宋体" w:hAnsi="宋体" w:cs="宋体"/>
          <w:color w:val="auto"/>
          <w:sz w:val="24"/>
          <w:highlight w:val="none"/>
          <w:lang w:eastAsia="zh-CN"/>
        </w:rPr>
        <w:t>四川信息职业技术学院</w:t>
      </w:r>
    </w:p>
    <w:p w14:paraId="1CC82664">
      <w:pPr>
        <w:overflowPunct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eastAsia="宋体" w:cs="宋体"/>
          <w:color w:val="auto"/>
          <w:sz w:val="24"/>
          <w:highlight w:val="none"/>
        </w:rPr>
        <w:t>：</w:t>
      </w:r>
      <w:r>
        <w:rPr>
          <w:rFonts w:hint="eastAsia" w:ascii="宋体" w:hAnsi="宋体" w:cs="宋体"/>
          <w:sz w:val="24"/>
          <w:highlight w:val="none"/>
        </w:rPr>
        <w:t>四川省广元市利州区学府路265号</w:t>
      </w:r>
    </w:p>
    <w:p w14:paraId="2A39BE4D">
      <w:pPr>
        <w:pStyle w:val="66"/>
        <w:ind w:firstLine="480"/>
        <w:rPr>
          <w:rFonts w:hint="eastAsia" w:ascii="宋体" w:hAnsi="宋体" w:eastAsia="宋体" w:cs="宋体"/>
          <w:sz w:val="24"/>
          <w:highlight w:val="none"/>
          <w:lang w:eastAsia="zh-CN"/>
        </w:rPr>
      </w:pPr>
      <w:r>
        <w:rPr>
          <w:rFonts w:hint="eastAsia" w:ascii="宋体" w:hAnsi="宋体" w:cs="宋体"/>
          <w:sz w:val="24"/>
          <w:highlight w:val="none"/>
        </w:rPr>
        <w:t>联系人：</w:t>
      </w:r>
      <w:r>
        <w:rPr>
          <w:rFonts w:hint="eastAsia" w:ascii="宋体" w:hAnsi="宋体" w:cs="宋体"/>
          <w:sz w:val="24"/>
          <w:highlight w:val="none"/>
          <w:lang w:val="en-US" w:eastAsia="zh-CN"/>
        </w:rPr>
        <w:t>何</w:t>
      </w:r>
      <w:r>
        <w:rPr>
          <w:rFonts w:hint="eastAsia" w:ascii="宋体" w:hAnsi="宋体" w:cs="宋体"/>
          <w:sz w:val="24"/>
          <w:highlight w:val="none"/>
          <w:lang w:eastAsia="zh-CN"/>
        </w:rPr>
        <w:t>老师</w:t>
      </w:r>
    </w:p>
    <w:p w14:paraId="11C6B71D">
      <w:pPr>
        <w:pStyle w:val="66"/>
        <w:ind w:firstLine="480"/>
        <w:rPr>
          <w:rFonts w:hint="default" w:ascii="宋体" w:hAnsi="宋体" w:eastAsia="宋体" w:cs="宋体"/>
          <w:sz w:val="24"/>
          <w:highlight w:val="none"/>
          <w:lang w:val="en-US" w:eastAsia="zh-CN"/>
        </w:rPr>
      </w:pPr>
      <w:r>
        <w:rPr>
          <w:rFonts w:hint="eastAsia" w:ascii="宋体" w:hAnsi="宋体" w:cs="宋体"/>
          <w:sz w:val="24"/>
          <w:highlight w:val="none"/>
        </w:rPr>
        <w:t>联系电话：</w:t>
      </w:r>
      <w:r>
        <w:rPr>
          <w:rFonts w:hint="eastAsia" w:ascii="宋体" w:hAnsi="宋体" w:cs="宋体"/>
          <w:sz w:val="24"/>
          <w:highlight w:val="none"/>
          <w:lang w:val="en-US" w:eastAsia="zh-CN"/>
        </w:rPr>
        <w:t>18111361551</w:t>
      </w:r>
    </w:p>
    <w:p w14:paraId="6A77FBBC">
      <w:pPr>
        <w:pStyle w:val="29"/>
        <w:widowControl w:val="0"/>
        <w:adjustRightInd w:val="0"/>
        <w:snapToGrid w:val="0"/>
        <w:spacing w:before="0" w:beforeAutospacing="0" w:after="0" w:afterAutospacing="0" w:line="360" w:lineRule="auto"/>
        <w:jc w:val="both"/>
        <w:outlineLvl w:val="0"/>
        <w:rPr>
          <w:rFonts w:hint="eastAsia"/>
        </w:rPr>
      </w:pPr>
      <w:r>
        <w:rPr>
          <w:rFonts w:hint="eastAsia" w:cs="宋体"/>
          <w:color w:val="auto"/>
          <w:sz w:val="24"/>
          <w:szCs w:val="24"/>
          <w:highlight w:val="none"/>
        </w:rPr>
        <w:br w:type="page"/>
      </w:r>
      <w:bookmarkStart w:id="12" w:name="_Toc17747"/>
      <w:bookmarkStart w:id="13" w:name="_Toc27575"/>
      <w:bookmarkStart w:id="14" w:name="_Toc16138"/>
      <w:bookmarkStart w:id="15" w:name="_Toc16066"/>
      <w:bookmarkStart w:id="16" w:name="_Toc7490"/>
      <w:bookmarkStart w:id="17" w:name="_Toc671755938"/>
      <w:bookmarkStart w:id="18" w:name="_Toc10358"/>
      <w:bookmarkStart w:id="19" w:name="_Toc27015"/>
      <w:r>
        <w:rPr>
          <w:rFonts w:hint="eastAsia" w:cs="宋体"/>
          <w:b/>
          <w:color w:val="auto"/>
          <w:kern w:val="2"/>
          <w:sz w:val="32"/>
          <w:szCs w:val="32"/>
          <w:highlight w:val="none"/>
        </w:rPr>
        <w:t>第二章  供应商磋商须知</w:t>
      </w:r>
      <w:bookmarkEnd w:id="11"/>
      <w:bookmarkEnd w:id="12"/>
      <w:bookmarkEnd w:id="13"/>
      <w:bookmarkEnd w:id="14"/>
      <w:bookmarkEnd w:id="15"/>
      <w:bookmarkEnd w:id="16"/>
      <w:bookmarkEnd w:id="17"/>
      <w:bookmarkEnd w:id="18"/>
      <w:bookmarkEnd w:id="19"/>
    </w:p>
    <w:tbl>
      <w:tblPr>
        <w:tblStyle w:val="32"/>
        <w:tblpPr w:leftFromText="180" w:rightFromText="180" w:vertAnchor="text" w:horzAnchor="page" w:tblpX="1284" w:tblpY="1065"/>
        <w:tblOverlap w:val="never"/>
        <w:tblW w:w="9172" w:type="dxa"/>
        <w:tblInd w:w="0" w:type="dxa"/>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1"/>
        <w:gridCol w:w="2450"/>
        <w:gridCol w:w="6161"/>
      </w:tblGrid>
      <w:tr w14:paraId="77E95B9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65" w:hRule="exact"/>
          <w:tblHeader/>
        </w:trPr>
        <w:tc>
          <w:tcPr>
            <w:tcW w:w="561" w:type="dxa"/>
            <w:noWrap w:val="0"/>
            <w:vAlign w:val="center"/>
          </w:tcPr>
          <w:p w14:paraId="601F4556">
            <w:pPr>
              <w:pStyle w:val="77"/>
              <w:keepNext w:val="0"/>
              <w:keepLines w:val="0"/>
              <w:suppressLineNumbers w:val="0"/>
              <w:spacing w:before="0" w:beforeAutospacing="0" w:after="0" w:afterAutospacing="0"/>
              <w:ind w:left="0" w:right="0" w:firstLine="210" w:firstLineChars="100"/>
              <w:jc w:val="both"/>
              <w:rPr>
                <w:rFonts w:hint="eastAsia"/>
                <w:color w:val="auto"/>
                <w:sz w:val="21"/>
                <w:szCs w:val="21"/>
                <w:highlight w:val="none"/>
                <w:lang w:val="zh-CN"/>
              </w:rPr>
            </w:pPr>
            <w:bookmarkStart w:id="20" w:name="_Toc8015"/>
            <w:bookmarkStart w:id="21" w:name="_Toc21889"/>
            <w:bookmarkStart w:id="22" w:name="_Toc14803"/>
            <w:r>
              <w:rPr>
                <w:rFonts w:hint="eastAsia"/>
                <w:color w:val="auto"/>
                <w:sz w:val="21"/>
                <w:szCs w:val="21"/>
                <w:highlight w:val="none"/>
                <w:lang w:val="zh-CN"/>
              </w:rPr>
              <w:t>序号</w:t>
            </w:r>
          </w:p>
        </w:tc>
        <w:tc>
          <w:tcPr>
            <w:tcW w:w="2450" w:type="dxa"/>
            <w:noWrap w:val="0"/>
            <w:vAlign w:val="center"/>
          </w:tcPr>
          <w:p w14:paraId="296C3559">
            <w:pPr>
              <w:pStyle w:val="77"/>
              <w:keepNext w:val="0"/>
              <w:keepLines w:val="0"/>
              <w:suppressLineNumbers w:val="0"/>
              <w:spacing w:before="0" w:beforeAutospacing="0" w:after="0" w:afterAutospacing="0"/>
              <w:ind w:left="0" w:right="0" w:firstLine="315" w:firstLineChars="150"/>
              <w:jc w:val="center"/>
              <w:rPr>
                <w:rFonts w:hint="eastAsia"/>
                <w:color w:val="auto"/>
                <w:sz w:val="21"/>
                <w:szCs w:val="21"/>
                <w:highlight w:val="none"/>
                <w:lang w:val="zh-CN"/>
              </w:rPr>
            </w:pPr>
            <w:r>
              <w:rPr>
                <w:rFonts w:hint="eastAsia"/>
                <w:color w:val="auto"/>
                <w:sz w:val="21"/>
                <w:szCs w:val="21"/>
                <w:highlight w:val="none"/>
                <w:lang w:val="zh-CN"/>
              </w:rPr>
              <w:t>应知事项</w:t>
            </w:r>
          </w:p>
        </w:tc>
        <w:tc>
          <w:tcPr>
            <w:tcW w:w="6161" w:type="dxa"/>
            <w:noWrap w:val="0"/>
            <w:vAlign w:val="center"/>
          </w:tcPr>
          <w:p w14:paraId="17594310">
            <w:pPr>
              <w:pStyle w:val="77"/>
              <w:keepNext w:val="0"/>
              <w:keepLines w:val="0"/>
              <w:suppressLineNumbers w:val="0"/>
              <w:spacing w:before="0" w:beforeAutospacing="0" w:after="0" w:afterAutospacing="0"/>
              <w:ind w:left="0" w:right="0" w:firstLine="315" w:firstLineChars="150"/>
              <w:jc w:val="center"/>
              <w:rPr>
                <w:rFonts w:hint="eastAsia"/>
                <w:color w:val="auto"/>
                <w:sz w:val="21"/>
                <w:szCs w:val="21"/>
                <w:highlight w:val="none"/>
                <w:lang w:val="zh-CN"/>
              </w:rPr>
            </w:pPr>
            <w:r>
              <w:rPr>
                <w:rFonts w:hint="eastAsia"/>
                <w:color w:val="auto"/>
                <w:sz w:val="21"/>
                <w:szCs w:val="21"/>
                <w:highlight w:val="none"/>
                <w:lang w:val="zh-CN"/>
              </w:rPr>
              <w:t>说明和要求</w:t>
            </w:r>
          </w:p>
        </w:tc>
      </w:tr>
      <w:tr w14:paraId="50130E7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96" w:hRule="exact"/>
        </w:trPr>
        <w:tc>
          <w:tcPr>
            <w:tcW w:w="561" w:type="dxa"/>
            <w:noWrap w:val="0"/>
            <w:vAlign w:val="center"/>
          </w:tcPr>
          <w:p w14:paraId="65D73B4F">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1</w:t>
            </w:r>
          </w:p>
        </w:tc>
        <w:tc>
          <w:tcPr>
            <w:tcW w:w="2450" w:type="dxa"/>
            <w:noWrap w:val="0"/>
            <w:vAlign w:val="center"/>
          </w:tcPr>
          <w:p w14:paraId="32E3DAAA">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邀请磋商的供应商数量和方式</w:t>
            </w:r>
          </w:p>
        </w:tc>
        <w:tc>
          <w:tcPr>
            <w:tcW w:w="6161" w:type="dxa"/>
            <w:noWrap w:val="0"/>
            <w:vAlign w:val="center"/>
          </w:tcPr>
          <w:p w14:paraId="4356B9E9">
            <w:pPr>
              <w:pStyle w:val="7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420" w:firstLineChars="200"/>
              <w:jc w:val="both"/>
              <w:textAlignment w:val="auto"/>
              <w:rPr>
                <w:rFonts w:hint="eastAsia"/>
                <w:color w:val="auto"/>
                <w:sz w:val="21"/>
                <w:szCs w:val="21"/>
                <w:highlight w:val="none"/>
                <w:lang w:val="zh-CN"/>
              </w:rPr>
            </w:pPr>
            <w:r>
              <w:rPr>
                <w:rFonts w:hint="eastAsia"/>
                <w:color w:val="auto"/>
                <w:sz w:val="21"/>
                <w:szCs w:val="21"/>
                <w:highlight w:val="none"/>
                <w:lang w:val="zh-CN"/>
              </w:rPr>
              <w:t>本次磋商邀请的供应商数量：不少于三家供应商。</w:t>
            </w:r>
          </w:p>
          <w:p w14:paraId="622543AA">
            <w:pPr>
              <w:pStyle w:val="77"/>
              <w:keepNext w:val="0"/>
              <w:keepLines w:val="0"/>
              <w:pageBreakBefore w:val="0"/>
              <w:widowControl w:val="0"/>
              <w:suppressLineNumbers w:val="0"/>
              <w:kinsoku/>
              <w:wordWrap/>
              <w:overflowPunct/>
              <w:topLinePunct w:val="0"/>
              <w:autoSpaceDE w:val="0"/>
              <w:autoSpaceDN w:val="0"/>
              <w:bidi w:val="0"/>
              <w:adjustRightInd w:val="0"/>
              <w:snapToGrid/>
              <w:spacing w:before="0" w:beforeAutospacing="0" w:after="0" w:afterAutospacing="0"/>
              <w:ind w:left="0" w:right="0" w:firstLine="420" w:firstLineChars="200"/>
              <w:jc w:val="both"/>
              <w:textAlignment w:val="auto"/>
              <w:rPr>
                <w:rFonts w:hint="eastAsia"/>
                <w:color w:val="auto"/>
                <w:sz w:val="21"/>
                <w:szCs w:val="21"/>
                <w:highlight w:val="none"/>
                <w:lang w:val="zh-CN"/>
              </w:rPr>
            </w:pPr>
            <w:r>
              <w:rPr>
                <w:rFonts w:hint="eastAsia"/>
                <w:color w:val="auto"/>
                <w:sz w:val="21"/>
                <w:szCs w:val="21"/>
                <w:highlight w:val="none"/>
                <w:lang w:val="zh-CN"/>
              </w:rPr>
              <w:t>四川信息职业技术学院官网主页（www.scitc.edu.cn）→ 通知公告栏。</w:t>
            </w:r>
          </w:p>
        </w:tc>
      </w:tr>
      <w:tr w14:paraId="5C8CC30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74" w:hRule="exact"/>
        </w:trPr>
        <w:tc>
          <w:tcPr>
            <w:tcW w:w="561" w:type="dxa"/>
            <w:noWrap w:val="0"/>
            <w:vAlign w:val="center"/>
          </w:tcPr>
          <w:p w14:paraId="63AA7ABC">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2</w:t>
            </w:r>
          </w:p>
        </w:tc>
        <w:tc>
          <w:tcPr>
            <w:tcW w:w="2450" w:type="dxa"/>
            <w:noWrap w:val="0"/>
            <w:vAlign w:val="center"/>
          </w:tcPr>
          <w:p w14:paraId="0A60406F">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采购预算</w:t>
            </w:r>
          </w:p>
          <w:p w14:paraId="055E52CB">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（实质性要求）</w:t>
            </w:r>
          </w:p>
        </w:tc>
        <w:tc>
          <w:tcPr>
            <w:tcW w:w="6161" w:type="dxa"/>
            <w:noWrap w:val="0"/>
            <w:vAlign w:val="center"/>
          </w:tcPr>
          <w:p w14:paraId="67B17FB9">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1.1 依据《四川省物价局、四川省建设厅关于印发〈四川省工程造价咨询服务收费标准〉的通知》（川价发〔2008〕141 号）对应服务基准收费标准下浮 40% 计算。</w:t>
            </w:r>
          </w:p>
          <w:p w14:paraId="57CFF86A">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1.2 供应商采用下浮率报价，下浮率计算基数为川价发〔2008〕141 号文对应服务基准收费额。</w:t>
            </w:r>
          </w:p>
          <w:p w14:paraId="2190ED4D">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1.3 供应商下浮率＜40%（折算服务费超采购预算）的，作无效响应处理。</w:t>
            </w:r>
          </w:p>
        </w:tc>
      </w:tr>
      <w:tr w14:paraId="6E1BB7C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182" w:hRule="exact"/>
        </w:trPr>
        <w:tc>
          <w:tcPr>
            <w:tcW w:w="561" w:type="dxa"/>
            <w:noWrap w:val="0"/>
            <w:vAlign w:val="center"/>
          </w:tcPr>
          <w:p w14:paraId="0CE05FC9">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3</w:t>
            </w:r>
          </w:p>
        </w:tc>
        <w:tc>
          <w:tcPr>
            <w:tcW w:w="2450" w:type="dxa"/>
            <w:noWrap w:val="0"/>
            <w:vAlign w:val="center"/>
          </w:tcPr>
          <w:p w14:paraId="63233966">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最高限价</w:t>
            </w:r>
          </w:p>
          <w:p w14:paraId="0D1ED0D6">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（实质性要求）</w:t>
            </w:r>
          </w:p>
        </w:tc>
        <w:tc>
          <w:tcPr>
            <w:tcW w:w="6161" w:type="dxa"/>
            <w:noWrap w:val="0"/>
            <w:vAlign w:val="center"/>
          </w:tcPr>
          <w:p w14:paraId="1BBD56A7">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1.1 本项目采购预算即最高响应限价，依据《四川省物价局、四川省建设厅关于印发〈四川省工程造价咨询服务收费标准〉的通知》（川价发〔2008〕141 号）对应服务基准收费标准下浮 40% 计算。</w:t>
            </w:r>
          </w:p>
          <w:p w14:paraId="236833F1">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1.2 供应商采用下浮率报价，下浮率计算基数为川价发〔2008〕141 号文对应服务基准收费额。</w:t>
            </w:r>
          </w:p>
          <w:p w14:paraId="08EE8AE0">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1.3 供应商下浮率＜40%（折算服务费超采购预算）的，作无效响应处理。</w:t>
            </w:r>
          </w:p>
        </w:tc>
      </w:tr>
      <w:tr w14:paraId="5125246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30" w:hRule="exact"/>
        </w:trPr>
        <w:tc>
          <w:tcPr>
            <w:tcW w:w="561" w:type="dxa"/>
            <w:noWrap w:val="0"/>
            <w:vAlign w:val="center"/>
          </w:tcPr>
          <w:p w14:paraId="7C62748A">
            <w:pPr>
              <w:pStyle w:val="77"/>
              <w:keepNext w:val="0"/>
              <w:keepLines w:val="0"/>
              <w:suppressLineNumbers w:val="0"/>
              <w:spacing w:before="0" w:beforeAutospacing="0" w:after="0" w:afterAutospacing="0"/>
              <w:ind w:left="0" w:right="0" w:firstLine="315" w:firstLineChars="150"/>
              <w:rPr>
                <w:rFonts w:hint="eastAsia" w:eastAsia="宋体"/>
                <w:color w:val="auto"/>
                <w:sz w:val="21"/>
                <w:szCs w:val="21"/>
                <w:highlight w:val="none"/>
                <w:lang w:val="en-US" w:eastAsia="zh-CN"/>
              </w:rPr>
            </w:pPr>
            <w:r>
              <w:rPr>
                <w:rFonts w:hint="eastAsia"/>
                <w:color w:val="auto"/>
                <w:sz w:val="21"/>
                <w:szCs w:val="21"/>
                <w:highlight w:val="none"/>
                <w:lang w:val="en-US" w:eastAsia="zh-CN"/>
              </w:rPr>
              <w:t>4</w:t>
            </w:r>
          </w:p>
        </w:tc>
        <w:tc>
          <w:tcPr>
            <w:tcW w:w="2450" w:type="dxa"/>
            <w:noWrap w:val="0"/>
            <w:vAlign w:val="center"/>
          </w:tcPr>
          <w:p w14:paraId="0499E859">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实质性响应要求</w:t>
            </w:r>
          </w:p>
        </w:tc>
        <w:tc>
          <w:tcPr>
            <w:tcW w:w="6161" w:type="dxa"/>
            <w:noWrap w:val="0"/>
            <w:vAlign w:val="center"/>
          </w:tcPr>
          <w:p w14:paraId="0594868B">
            <w:pPr>
              <w:pStyle w:val="77"/>
              <w:keepNext w:val="0"/>
              <w:keepLines w:val="0"/>
              <w:suppressLineNumbers w:val="0"/>
              <w:spacing w:before="0" w:beforeAutospacing="0" w:after="0" w:afterAutospacing="0"/>
              <w:ind w:left="0" w:right="0" w:firstLine="315" w:firstLineChars="150"/>
              <w:rPr>
                <w:rFonts w:hint="eastAsia" w:ascii="宋体" w:hAnsi="宋体" w:eastAsia="宋体" w:cs="宋体"/>
                <w:color w:val="auto"/>
                <w:sz w:val="21"/>
                <w:szCs w:val="21"/>
                <w:highlight w:val="none"/>
                <w:lang w:val="zh-CN" w:eastAsia="zh-CN"/>
              </w:rPr>
            </w:pPr>
            <w:r>
              <w:rPr>
                <w:rFonts w:hint="eastAsia" w:ascii="宋体" w:hAnsi="宋体" w:eastAsia="宋体" w:cs="宋体"/>
                <w:color w:val="auto"/>
                <w:sz w:val="21"/>
                <w:szCs w:val="21"/>
                <w:highlight w:val="none"/>
                <w:lang w:val="zh-CN" w:eastAsia="zh-CN"/>
              </w:rPr>
              <w:t>1.供应商所有轮次报价总价不得超过最高限价；</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zh-CN" w:eastAsia="zh-CN"/>
              </w:rPr>
              <w:t>2.报价对应下浮率不得低于40%。任意一项不满足均作无效响应处理</w:t>
            </w:r>
          </w:p>
        </w:tc>
      </w:tr>
      <w:tr w14:paraId="13778F4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44" w:hRule="exact"/>
        </w:trPr>
        <w:tc>
          <w:tcPr>
            <w:tcW w:w="561" w:type="dxa"/>
            <w:noWrap w:val="0"/>
            <w:vAlign w:val="center"/>
          </w:tcPr>
          <w:p w14:paraId="6AD6AD58">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4</w:t>
            </w:r>
          </w:p>
        </w:tc>
        <w:tc>
          <w:tcPr>
            <w:tcW w:w="2450" w:type="dxa"/>
            <w:noWrap w:val="0"/>
            <w:vAlign w:val="center"/>
          </w:tcPr>
          <w:p w14:paraId="6673A15D">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是否接受联合体参加本次磋商(实质性要求)</w:t>
            </w:r>
          </w:p>
        </w:tc>
        <w:tc>
          <w:tcPr>
            <w:tcW w:w="6161" w:type="dxa"/>
            <w:noWrap w:val="0"/>
            <w:vAlign w:val="center"/>
          </w:tcPr>
          <w:p w14:paraId="6E636BBC">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rPr>
              <w:t>本项目</w:t>
            </w:r>
            <w:r>
              <w:rPr>
                <w:rFonts w:hint="eastAsia"/>
                <w:color w:val="auto"/>
                <w:sz w:val="21"/>
                <w:szCs w:val="21"/>
                <w:highlight w:val="none"/>
                <w:lang w:val="zh-CN"/>
              </w:rPr>
              <w:t>不接受</w:t>
            </w:r>
            <w:r>
              <w:rPr>
                <w:rFonts w:hint="eastAsia"/>
                <w:color w:val="auto"/>
                <w:sz w:val="21"/>
                <w:szCs w:val="21"/>
                <w:highlight w:val="none"/>
              </w:rPr>
              <w:t>联合体参加磋商。</w:t>
            </w:r>
          </w:p>
        </w:tc>
      </w:tr>
      <w:tr w14:paraId="5743BC0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79" w:hRule="exact"/>
        </w:trPr>
        <w:tc>
          <w:tcPr>
            <w:tcW w:w="561" w:type="dxa"/>
            <w:noWrap w:val="0"/>
            <w:vAlign w:val="center"/>
          </w:tcPr>
          <w:p w14:paraId="08E99565">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rPr>
            </w:pPr>
            <w:r>
              <w:rPr>
                <w:rFonts w:hint="eastAsia"/>
                <w:color w:val="auto"/>
                <w:sz w:val="21"/>
                <w:szCs w:val="21"/>
                <w:highlight w:val="none"/>
              </w:rPr>
              <w:t>5</w:t>
            </w:r>
          </w:p>
        </w:tc>
        <w:tc>
          <w:tcPr>
            <w:tcW w:w="2450" w:type="dxa"/>
            <w:noWrap w:val="0"/>
            <w:vAlign w:val="center"/>
          </w:tcPr>
          <w:p w14:paraId="21FC9BB2">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采购方式</w:t>
            </w:r>
          </w:p>
        </w:tc>
        <w:tc>
          <w:tcPr>
            <w:tcW w:w="6161" w:type="dxa"/>
            <w:noWrap w:val="0"/>
            <w:vAlign w:val="center"/>
          </w:tcPr>
          <w:p w14:paraId="4D74F212">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竞争性磋商</w:t>
            </w:r>
          </w:p>
        </w:tc>
      </w:tr>
      <w:tr w14:paraId="598852C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52" w:hRule="exact"/>
        </w:trPr>
        <w:tc>
          <w:tcPr>
            <w:tcW w:w="561" w:type="dxa"/>
            <w:noWrap w:val="0"/>
            <w:vAlign w:val="center"/>
          </w:tcPr>
          <w:p w14:paraId="0916009F">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rPr>
              <w:t>6</w:t>
            </w:r>
          </w:p>
        </w:tc>
        <w:tc>
          <w:tcPr>
            <w:tcW w:w="2450" w:type="dxa"/>
            <w:noWrap w:val="0"/>
            <w:vAlign w:val="center"/>
          </w:tcPr>
          <w:p w14:paraId="0F82D3C2">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评审方法</w:t>
            </w:r>
          </w:p>
        </w:tc>
        <w:tc>
          <w:tcPr>
            <w:tcW w:w="6161" w:type="dxa"/>
            <w:noWrap w:val="0"/>
            <w:vAlign w:val="center"/>
          </w:tcPr>
          <w:p w14:paraId="55FFAE10">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综合评分法</w:t>
            </w:r>
          </w:p>
        </w:tc>
      </w:tr>
      <w:tr w14:paraId="2409D5C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02" w:hRule="exact"/>
        </w:trPr>
        <w:tc>
          <w:tcPr>
            <w:tcW w:w="561" w:type="dxa"/>
            <w:noWrap w:val="0"/>
            <w:vAlign w:val="center"/>
          </w:tcPr>
          <w:p w14:paraId="47B347D6">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rPr>
            </w:pPr>
            <w:r>
              <w:rPr>
                <w:rFonts w:hint="eastAsia"/>
                <w:color w:val="auto"/>
                <w:sz w:val="21"/>
                <w:szCs w:val="21"/>
                <w:highlight w:val="none"/>
              </w:rPr>
              <w:t>7</w:t>
            </w:r>
          </w:p>
        </w:tc>
        <w:tc>
          <w:tcPr>
            <w:tcW w:w="2450" w:type="dxa"/>
            <w:noWrap w:val="0"/>
            <w:vAlign w:val="center"/>
          </w:tcPr>
          <w:p w14:paraId="3DFC6935">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采购类别</w:t>
            </w:r>
          </w:p>
        </w:tc>
        <w:tc>
          <w:tcPr>
            <w:tcW w:w="6161" w:type="dxa"/>
            <w:noWrap w:val="0"/>
            <w:vAlign w:val="center"/>
          </w:tcPr>
          <w:p w14:paraId="6CF30629">
            <w:pPr>
              <w:pStyle w:val="77"/>
              <w:keepNext w:val="0"/>
              <w:keepLines w:val="0"/>
              <w:suppressLineNumbers w:val="0"/>
              <w:spacing w:before="0" w:beforeAutospacing="0" w:after="0" w:afterAutospacing="0"/>
              <w:ind w:left="0" w:right="0" w:firstLine="315" w:firstLineChars="150"/>
              <w:rPr>
                <w:rFonts w:hint="eastAsia" w:eastAsia="宋体"/>
                <w:color w:val="auto"/>
                <w:sz w:val="21"/>
                <w:szCs w:val="21"/>
                <w:highlight w:val="none"/>
                <w:lang w:eastAsia="zh-CN"/>
              </w:rPr>
            </w:pPr>
            <w:r>
              <w:rPr>
                <w:rFonts w:hint="eastAsia"/>
                <w:color w:val="auto"/>
                <w:sz w:val="21"/>
                <w:szCs w:val="21"/>
                <w:highlight w:val="none"/>
                <w:lang w:val="en-US" w:eastAsia="zh-CN"/>
              </w:rPr>
              <w:t>服务</w:t>
            </w:r>
          </w:p>
        </w:tc>
      </w:tr>
      <w:tr w14:paraId="28DE88D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8" w:hRule="exact"/>
        </w:trPr>
        <w:tc>
          <w:tcPr>
            <w:tcW w:w="561" w:type="dxa"/>
            <w:noWrap w:val="0"/>
            <w:vAlign w:val="center"/>
          </w:tcPr>
          <w:p w14:paraId="0DE44EF7">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rPr>
            </w:pPr>
            <w:r>
              <w:rPr>
                <w:rFonts w:hint="eastAsia"/>
                <w:color w:val="auto"/>
                <w:sz w:val="21"/>
                <w:szCs w:val="21"/>
                <w:highlight w:val="none"/>
              </w:rPr>
              <w:t>8</w:t>
            </w:r>
          </w:p>
        </w:tc>
        <w:tc>
          <w:tcPr>
            <w:tcW w:w="2450" w:type="dxa"/>
            <w:noWrap w:val="0"/>
            <w:vAlign w:val="center"/>
          </w:tcPr>
          <w:p w14:paraId="4A993F43">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是否专门面向中小企业（实质性要求）</w:t>
            </w:r>
          </w:p>
        </w:tc>
        <w:tc>
          <w:tcPr>
            <w:tcW w:w="6161" w:type="dxa"/>
            <w:noWrap w:val="0"/>
            <w:vAlign w:val="center"/>
          </w:tcPr>
          <w:p w14:paraId="7B5A757E">
            <w:pPr>
              <w:pStyle w:val="77"/>
              <w:keepNext w:val="0"/>
              <w:keepLines w:val="0"/>
              <w:suppressLineNumbers w:val="0"/>
              <w:spacing w:before="0" w:beforeAutospacing="0" w:after="0" w:afterAutospacing="0"/>
              <w:ind w:left="0" w:right="0" w:firstLine="315" w:firstLineChars="150"/>
              <w:rPr>
                <w:rFonts w:hint="eastAsia" w:eastAsia="宋体"/>
                <w:color w:val="auto"/>
                <w:sz w:val="21"/>
                <w:szCs w:val="21"/>
                <w:highlight w:val="none"/>
                <w:lang w:eastAsia="zh-CN"/>
              </w:rPr>
            </w:pPr>
            <w:r>
              <w:rPr>
                <w:rFonts w:hint="eastAsia"/>
                <w:color w:val="auto"/>
                <w:sz w:val="21"/>
                <w:szCs w:val="21"/>
                <w:highlight w:val="none"/>
                <w:lang w:val="en-US" w:eastAsia="zh-CN"/>
              </w:rPr>
              <w:t>否</w:t>
            </w:r>
          </w:p>
        </w:tc>
      </w:tr>
      <w:tr w14:paraId="1E64651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48" w:hRule="exact"/>
        </w:trPr>
        <w:tc>
          <w:tcPr>
            <w:tcW w:w="561" w:type="dxa"/>
            <w:noWrap w:val="0"/>
            <w:vAlign w:val="center"/>
          </w:tcPr>
          <w:p w14:paraId="38FBECA2">
            <w:pPr>
              <w:pStyle w:val="77"/>
              <w:keepNext w:val="0"/>
              <w:keepLines w:val="0"/>
              <w:suppressLineNumbers w:val="0"/>
              <w:spacing w:before="0" w:beforeAutospacing="0" w:after="0" w:afterAutospacing="0"/>
              <w:ind w:left="0" w:right="0" w:firstLine="315" w:firstLineChars="150"/>
              <w:rPr>
                <w:rFonts w:hint="eastAsia" w:eastAsia="宋体"/>
                <w:color w:val="auto"/>
                <w:sz w:val="21"/>
                <w:szCs w:val="21"/>
                <w:highlight w:val="none"/>
                <w:lang w:val="en-US" w:eastAsia="zh-CN"/>
              </w:rPr>
            </w:pPr>
            <w:r>
              <w:rPr>
                <w:rFonts w:hint="eastAsia"/>
                <w:color w:val="auto"/>
                <w:sz w:val="21"/>
                <w:szCs w:val="21"/>
                <w:highlight w:val="none"/>
                <w:lang w:val="en-US" w:eastAsia="zh-CN"/>
              </w:rPr>
              <w:t>9</w:t>
            </w:r>
          </w:p>
        </w:tc>
        <w:tc>
          <w:tcPr>
            <w:tcW w:w="2450" w:type="dxa"/>
            <w:noWrap w:val="0"/>
            <w:vAlign w:val="center"/>
          </w:tcPr>
          <w:p w14:paraId="5394AA3D">
            <w:pPr>
              <w:pStyle w:val="77"/>
              <w:keepNext w:val="0"/>
              <w:keepLines w:val="0"/>
              <w:suppressLineNumbers w:val="0"/>
              <w:spacing w:before="0" w:beforeAutospacing="0" w:after="0" w:afterAutospacing="0"/>
              <w:ind w:left="0" w:right="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报价形式</w:t>
            </w:r>
          </w:p>
        </w:tc>
        <w:tc>
          <w:tcPr>
            <w:tcW w:w="6161" w:type="dxa"/>
            <w:noWrap w:val="0"/>
            <w:vAlign w:val="center"/>
          </w:tcPr>
          <w:p w14:paraId="185F50BF">
            <w:pPr>
              <w:pStyle w:val="77"/>
              <w:keepNext w:val="0"/>
              <w:keepLines w:val="0"/>
              <w:suppressLineNumbers w:val="0"/>
              <w:spacing w:before="0" w:beforeAutospacing="0" w:after="0" w:afterAutospacing="0"/>
              <w:ind w:left="0" w:right="0" w:firstLine="315" w:firstLineChars="150"/>
              <w:rPr>
                <w:rFonts w:hint="default"/>
                <w:color w:val="auto"/>
                <w:sz w:val="21"/>
                <w:szCs w:val="21"/>
                <w:highlight w:val="none"/>
                <w:lang w:val="en-US" w:eastAsia="zh-CN"/>
              </w:rPr>
            </w:pPr>
            <w:r>
              <w:rPr>
                <w:rFonts w:hint="eastAsia"/>
                <w:color w:val="auto"/>
                <w:sz w:val="21"/>
                <w:szCs w:val="21"/>
                <w:highlight w:val="none"/>
                <w:lang w:val="en-US" w:eastAsia="zh-CN"/>
              </w:rPr>
              <w:t>下浮率</w:t>
            </w:r>
          </w:p>
        </w:tc>
      </w:tr>
      <w:tr w14:paraId="4B613C7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64" w:hRule="atLeast"/>
        </w:trPr>
        <w:tc>
          <w:tcPr>
            <w:tcW w:w="561" w:type="dxa"/>
            <w:noWrap w:val="0"/>
            <w:vAlign w:val="center"/>
          </w:tcPr>
          <w:p w14:paraId="01B75535">
            <w:pPr>
              <w:pStyle w:val="77"/>
              <w:keepNext w:val="0"/>
              <w:keepLines w:val="0"/>
              <w:suppressLineNumbers w:val="0"/>
              <w:spacing w:before="0" w:beforeAutospacing="0" w:after="0" w:afterAutospacing="0"/>
              <w:ind w:left="0" w:right="0" w:firstLine="315" w:firstLineChars="150"/>
              <w:rPr>
                <w:rFonts w:hint="default" w:eastAsia="宋体"/>
                <w:color w:val="auto"/>
                <w:sz w:val="21"/>
                <w:szCs w:val="21"/>
                <w:highlight w:val="none"/>
                <w:lang w:val="en-US" w:eastAsia="zh-CN"/>
              </w:rPr>
            </w:pPr>
            <w:r>
              <w:rPr>
                <w:rFonts w:hint="eastAsia"/>
                <w:color w:val="auto"/>
                <w:sz w:val="21"/>
                <w:szCs w:val="21"/>
                <w:highlight w:val="none"/>
                <w:lang w:val="en-US" w:eastAsia="zh-CN"/>
              </w:rPr>
              <w:t>10</w:t>
            </w:r>
          </w:p>
        </w:tc>
        <w:tc>
          <w:tcPr>
            <w:tcW w:w="2450" w:type="dxa"/>
            <w:noWrap w:val="0"/>
            <w:vAlign w:val="center"/>
          </w:tcPr>
          <w:p w14:paraId="336DCC23">
            <w:pPr>
              <w:pStyle w:val="77"/>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zh-CN" w:eastAsia="zh-CN" w:bidi="ar-SA"/>
              </w:rPr>
            </w:pPr>
            <w:r>
              <w:rPr>
                <w:rFonts w:hint="eastAsia" w:ascii="Times New Roman" w:hAnsi="Times New Roman" w:eastAsia="宋体" w:cs="Times New Roman"/>
                <w:color w:val="auto"/>
                <w:kern w:val="2"/>
                <w:sz w:val="21"/>
                <w:szCs w:val="24"/>
                <w:highlight w:val="none"/>
                <w:lang w:val="zh-CN" w:eastAsia="zh-CN" w:bidi="ar-SA"/>
              </w:rPr>
              <w:t>小微企业（监狱企业、残疾人福利性单位视同小微企业）价格扣除</w:t>
            </w:r>
          </w:p>
          <w:p w14:paraId="2C30E3F7">
            <w:pPr>
              <w:pStyle w:val="77"/>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kern w:val="2"/>
                <w:sz w:val="21"/>
                <w:szCs w:val="24"/>
                <w:highlight w:val="none"/>
                <w:lang w:val="zh-CN" w:eastAsia="zh-CN" w:bidi="ar-SA"/>
              </w:rPr>
            </w:pPr>
            <w:r>
              <w:rPr>
                <w:rFonts w:hint="eastAsia" w:ascii="Times New Roman" w:hAnsi="Times New Roman" w:eastAsia="宋体" w:cs="Times New Roman"/>
                <w:color w:val="auto"/>
                <w:kern w:val="2"/>
                <w:sz w:val="21"/>
                <w:szCs w:val="24"/>
                <w:highlight w:val="none"/>
                <w:lang w:val="zh-CN" w:eastAsia="zh-CN" w:bidi="ar-SA"/>
              </w:rPr>
              <w:t>（实质性要求）</w:t>
            </w:r>
          </w:p>
        </w:tc>
        <w:tc>
          <w:tcPr>
            <w:tcW w:w="6161" w:type="dxa"/>
            <w:noWrap w:val="0"/>
            <w:vAlign w:val="center"/>
          </w:tcPr>
          <w:p w14:paraId="3E5FB691">
            <w:pPr>
              <w:pStyle w:val="77"/>
              <w:keepNext w:val="0"/>
              <w:keepLines w:val="0"/>
              <w:suppressLineNumbers w:val="0"/>
              <w:spacing w:before="0" w:beforeAutospacing="0" w:after="0" w:afterAutospacing="0"/>
              <w:ind w:left="0" w:right="0" w:firstLine="315" w:firstLineChars="150"/>
              <w:rPr>
                <w:rFonts w:hint="eastAsia" w:ascii="Times New Roman" w:hAnsi="Times New Roman" w:eastAsia="宋体" w:cs="Times New Roman"/>
                <w:color w:val="auto"/>
                <w:kern w:val="2"/>
                <w:sz w:val="21"/>
                <w:szCs w:val="24"/>
                <w:highlight w:val="none"/>
                <w:lang w:val="zh-CN" w:eastAsia="zh-CN" w:bidi="ar-SA"/>
              </w:rPr>
            </w:pPr>
            <w:r>
              <w:rPr>
                <w:rFonts w:hint="eastAsia" w:ascii="Times New Roman" w:hAnsi="Times New Roman" w:eastAsia="宋体" w:cs="Times New Roman"/>
                <w:color w:val="auto"/>
                <w:kern w:val="2"/>
                <w:sz w:val="21"/>
                <w:szCs w:val="24"/>
                <w:highlight w:val="none"/>
                <w:lang w:val="zh-CN" w:eastAsia="zh-CN" w:bidi="ar-SA"/>
              </w:rPr>
              <w:t>1.根据《政府采购促进中小企业发展管理办法》（财库〔2020〕46号）的规定，对符合本办法规定的小微企业报价给予10%的扣除，用扣除后的价格参加评审。</w:t>
            </w:r>
          </w:p>
          <w:p w14:paraId="3FACB54F">
            <w:pPr>
              <w:pStyle w:val="77"/>
              <w:keepNext w:val="0"/>
              <w:keepLines w:val="0"/>
              <w:suppressLineNumbers w:val="0"/>
              <w:spacing w:before="0" w:beforeAutospacing="0" w:after="0" w:afterAutospacing="0"/>
              <w:ind w:left="0" w:right="0" w:firstLine="315" w:firstLineChars="150"/>
              <w:rPr>
                <w:rFonts w:hint="eastAsia" w:ascii="Times New Roman" w:hAnsi="Times New Roman" w:eastAsia="宋体" w:cs="Times New Roman"/>
                <w:color w:val="auto"/>
                <w:kern w:val="2"/>
                <w:sz w:val="21"/>
                <w:szCs w:val="24"/>
                <w:highlight w:val="none"/>
                <w:lang w:val="zh-CN" w:eastAsia="zh-CN" w:bidi="ar-SA"/>
              </w:rPr>
            </w:pPr>
            <w:r>
              <w:rPr>
                <w:rFonts w:hint="eastAsia" w:ascii="Times New Roman" w:hAnsi="Times New Roman" w:eastAsia="宋体" w:cs="Times New Roman"/>
                <w:color w:val="auto"/>
                <w:kern w:val="2"/>
                <w:sz w:val="21"/>
                <w:szCs w:val="24"/>
                <w:highlight w:val="none"/>
                <w:lang w:val="zh-CN" w:eastAsia="zh-CN" w:bidi="ar-SA"/>
              </w:rPr>
              <w:t>2.参加采购活动的中小企业应当提供《中小企业声明函》原件,监狱企业应当提供《监狱企业证明》原件，残疾人福利性单位应当提供《残疾人福利性单位声明函》原件，未提供的，视为放弃享受小微企业价格扣除优惠政策。</w:t>
            </w:r>
          </w:p>
        </w:tc>
      </w:tr>
      <w:tr w14:paraId="77E42ED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55" w:hRule="exact"/>
        </w:trPr>
        <w:tc>
          <w:tcPr>
            <w:tcW w:w="561" w:type="dxa"/>
            <w:noWrap w:val="0"/>
            <w:vAlign w:val="center"/>
          </w:tcPr>
          <w:p w14:paraId="542C12B5">
            <w:pPr>
              <w:pStyle w:val="77"/>
              <w:keepNext w:val="0"/>
              <w:keepLines w:val="0"/>
              <w:suppressLineNumbers w:val="0"/>
              <w:spacing w:before="0" w:beforeAutospacing="0" w:after="0" w:afterAutospacing="0"/>
              <w:ind w:left="0" w:right="0" w:firstLine="315" w:firstLineChars="150"/>
              <w:rPr>
                <w:rFonts w:hint="default" w:eastAsia="宋体"/>
                <w:color w:val="auto"/>
                <w:sz w:val="21"/>
                <w:szCs w:val="21"/>
                <w:highlight w:val="none"/>
                <w:lang w:val="en-US" w:eastAsia="zh-CN"/>
              </w:rPr>
            </w:pPr>
            <w:r>
              <w:rPr>
                <w:rFonts w:hint="eastAsia"/>
                <w:color w:val="auto"/>
                <w:sz w:val="21"/>
                <w:szCs w:val="21"/>
                <w:highlight w:val="none"/>
                <w:lang w:val="en-US" w:eastAsia="zh-CN"/>
              </w:rPr>
              <w:t>11</w:t>
            </w:r>
          </w:p>
        </w:tc>
        <w:tc>
          <w:tcPr>
            <w:tcW w:w="2450" w:type="dxa"/>
            <w:noWrap w:val="0"/>
            <w:vAlign w:val="center"/>
          </w:tcPr>
          <w:p w14:paraId="7E741263">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磋商情况公告</w:t>
            </w:r>
          </w:p>
        </w:tc>
        <w:tc>
          <w:tcPr>
            <w:tcW w:w="6161" w:type="dxa"/>
            <w:noWrap w:val="0"/>
            <w:vAlign w:val="center"/>
          </w:tcPr>
          <w:p w14:paraId="52B3A711">
            <w:pPr>
              <w:pStyle w:val="77"/>
              <w:keepNext w:val="0"/>
              <w:keepLines w:val="0"/>
              <w:suppressLineNumbers w:val="0"/>
              <w:spacing w:before="0" w:beforeAutospacing="0" w:after="0" w:afterAutospacing="0"/>
              <w:ind w:left="0" w:right="0" w:firstLine="420" w:firstLineChars="200"/>
              <w:jc w:val="both"/>
              <w:rPr>
                <w:rFonts w:hint="eastAsia"/>
                <w:color w:val="auto"/>
                <w:sz w:val="21"/>
                <w:szCs w:val="21"/>
                <w:highlight w:val="none"/>
                <w:lang w:val="zh-CN"/>
              </w:rPr>
            </w:pPr>
            <w:r>
              <w:rPr>
                <w:rFonts w:hint="eastAsia"/>
                <w:color w:val="auto"/>
                <w:sz w:val="21"/>
                <w:szCs w:val="21"/>
                <w:highlight w:val="none"/>
                <w:lang w:val="zh-CN"/>
              </w:rPr>
              <w:t>磋商结果公告在</w:t>
            </w:r>
            <w:r>
              <w:rPr>
                <w:rFonts w:hint="eastAsia" w:ascii="宋体" w:hAnsi="宋体" w:eastAsia="宋体" w:cs="宋体"/>
                <w:color w:val="auto"/>
                <w:sz w:val="21"/>
                <w:szCs w:val="21"/>
                <w:highlight w:val="none"/>
                <w:lang w:val="zh-CN" w:eastAsia="zh-CN"/>
              </w:rPr>
              <w:t>四川信息职业技术学院官网主页（www.scitc.edu.cn）→ 通知公告栏</w:t>
            </w:r>
            <w:r>
              <w:rPr>
                <w:rFonts w:hint="eastAsia"/>
                <w:color w:val="auto"/>
                <w:sz w:val="21"/>
                <w:szCs w:val="21"/>
                <w:highlight w:val="none"/>
                <w:lang w:val="zh-CN"/>
              </w:rPr>
              <w:t>。</w:t>
            </w:r>
          </w:p>
        </w:tc>
      </w:tr>
      <w:tr w14:paraId="4A7BFE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trPr>
        <w:tc>
          <w:tcPr>
            <w:tcW w:w="561" w:type="dxa"/>
            <w:noWrap w:val="0"/>
            <w:vAlign w:val="center"/>
          </w:tcPr>
          <w:p w14:paraId="425E3B68">
            <w:pPr>
              <w:pStyle w:val="77"/>
              <w:keepNext w:val="0"/>
              <w:keepLines w:val="0"/>
              <w:suppressLineNumbers w:val="0"/>
              <w:spacing w:before="0" w:beforeAutospacing="0" w:after="0" w:afterAutospacing="0"/>
              <w:ind w:left="0" w:right="0" w:firstLine="315" w:firstLineChars="150"/>
              <w:rPr>
                <w:rFonts w:hint="default" w:eastAsia="宋体"/>
                <w:color w:val="auto"/>
                <w:sz w:val="21"/>
                <w:szCs w:val="21"/>
                <w:highlight w:val="none"/>
                <w:lang w:val="en-US" w:eastAsia="zh-CN"/>
              </w:rPr>
            </w:pPr>
            <w:r>
              <w:rPr>
                <w:rFonts w:hint="eastAsia"/>
                <w:color w:val="auto"/>
                <w:sz w:val="21"/>
                <w:szCs w:val="21"/>
                <w:highlight w:val="none"/>
                <w:lang w:val="en-US" w:eastAsia="zh-CN"/>
              </w:rPr>
              <w:t>12</w:t>
            </w:r>
          </w:p>
        </w:tc>
        <w:tc>
          <w:tcPr>
            <w:tcW w:w="2450" w:type="dxa"/>
            <w:noWrap w:val="0"/>
            <w:vAlign w:val="center"/>
          </w:tcPr>
          <w:p w14:paraId="37EB6FC1">
            <w:pPr>
              <w:pStyle w:val="77"/>
              <w:keepNext w:val="0"/>
              <w:keepLines w:val="0"/>
              <w:suppressLineNumbers w:val="0"/>
              <w:spacing w:before="0" w:beforeAutospacing="0" w:after="0" w:afterAutospacing="0"/>
              <w:ind w:left="0" w:right="0"/>
              <w:jc w:val="center"/>
              <w:rPr>
                <w:rFonts w:hint="default" w:eastAsia="宋体"/>
                <w:color w:val="auto"/>
                <w:sz w:val="21"/>
                <w:szCs w:val="21"/>
                <w:highlight w:val="none"/>
                <w:lang w:val="en-US" w:eastAsia="zh-CN"/>
              </w:rPr>
            </w:pPr>
            <w:r>
              <w:rPr>
                <w:rFonts w:hint="eastAsia"/>
                <w:color w:val="auto"/>
                <w:sz w:val="21"/>
                <w:szCs w:val="21"/>
                <w:highlight w:val="none"/>
                <w:lang w:val="zh-CN"/>
              </w:rPr>
              <w:t>磋商保证金</w:t>
            </w:r>
            <w:r>
              <w:rPr>
                <w:rFonts w:hint="eastAsia"/>
                <w:color w:val="auto"/>
                <w:sz w:val="21"/>
                <w:szCs w:val="21"/>
                <w:highlight w:val="none"/>
                <w:lang w:val="en-US" w:eastAsia="zh-CN"/>
              </w:rPr>
              <w:t>和履约保证金</w:t>
            </w:r>
          </w:p>
        </w:tc>
        <w:tc>
          <w:tcPr>
            <w:tcW w:w="6161" w:type="dxa"/>
            <w:noWrap w:val="0"/>
            <w:vAlign w:val="center"/>
          </w:tcPr>
          <w:p w14:paraId="44E6B0A0">
            <w:pPr>
              <w:keepNext w:val="0"/>
              <w:keepLines w:val="0"/>
              <w:suppressLineNumbers w:val="0"/>
              <w:adjustRightInd w:val="0"/>
              <w:snapToGrid w:val="0"/>
              <w:spacing w:before="0" w:beforeAutospacing="0" w:after="0" w:afterAutospacing="0" w:line="360" w:lineRule="auto"/>
              <w:ind w:left="0" w:right="0" w:firstLine="315" w:firstLineChars="150"/>
              <w:jc w:val="both"/>
              <w:rPr>
                <w:rFonts w:hint="eastAsia" w:ascii="Times New Roman" w:hAnsi="Times New Roman" w:cs="Times New Roman"/>
                <w:color w:val="auto"/>
                <w:sz w:val="21"/>
                <w:szCs w:val="21"/>
                <w:highlight w:val="none"/>
                <w:lang w:val="zh-CN"/>
              </w:rPr>
            </w:pPr>
            <w:r>
              <w:rPr>
                <w:rFonts w:hint="eastAsia" w:ascii="宋体" w:hAnsi="宋体" w:cs="宋体"/>
                <w:color w:val="auto"/>
                <w:kern w:val="0"/>
                <w:szCs w:val="21"/>
                <w:highlight w:val="none"/>
              </w:rPr>
              <w:t>本项目不收取磋商保证金</w:t>
            </w:r>
            <w:r>
              <w:rPr>
                <w:rFonts w:hint="eastAsia" w:ascii="宋体" w:hAnsi="宋体" w:cs="宋体"/>
                <w:color w:val="auto"/>
                <w:kern w:val="0"/>
                <w:szCs w:val="21"/>
                <w:highlight w:val="none"/>
                <w:lang w:val="en-US" w:eastAsia="zh-CN"/>
              </w:rPr>
              <w:t>和履约保证金</w:t>
            </w:r>
            <w:r>
              <w:rPr>
                <w:rFonts w:hint="eastAsia" w:ascii="宋体" w:hAnsi="宋体" w:cs="宋体"/>
                <w:color w:val="auto"/>
                <w:kern w:val="0"/>
                <w:szCs w:val="21"/>
                <w:highlight w:val="none"/>
              </w:rPr>
              <w:t>。</w:t>
            </w:r>
          </w:p>
        </w:tc>
      </w:tr>
      <w:tr w14:paraId="0C969C3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9" w:hRule="exact"/>
        </w:trPr>
        <w:tc>
          <w:tcPr>
            <w:tcW w:w="561" w:type="dxa"/>
            <w:noWrap w:val="0"/>
            <w:vAlign w:val="center"/>
          </w:tcPr>
          <w:p w14:paraId="5567E643">
            <w:pPr>
              <w:pStyle w:val="77"/>
              <w:keepNext w:val="0"/>
              <w:keepLines w:val="0"/>
              <w:suppressLineNumbers w:val="0"/>
              <w:spacing w:before="0" w:beforeAutospacing="0" w:after="0" w:afterAutospacing="0"/>
              <w:ind w:left="0" w:right="0" w:firstLine="315" w:firstLineChars="150"/>
              <w:rPr>
                <w:rFonts w:hint="default" w:eastAsia="宋体"/>
                <w:color w:val="auto"/>
                <w:sz w:val="21"/>
                <w:szCs w:val="21"/>
                <w:highlight w:val="none"/>
                <w:lang w:val="en-US" w:eastAsia="zh-CN"/>
              </w:rPr>
            </w:pPr>
            <w:r>
              <w:rPr>
                <w:rFonts w:hint="eastAsia"/>
                <w:color w:val="auto"/>
                <w:sz w:val="21"/>
                <w:szCs w:val="21"/>
                <w:highlight w:val="none"/>
                <w:lang w:val="en-US" w:eastAsia="zh-CN"/>
              </w:rPr>
              <w:t>13</w:t>
            </w:r>
          </w:p>
        </w:tc>
        <w:tc>
          <w:tcPr>
            <w:tcW w:w="2450" w:type="dxa"/>
            <w:noWrap w:val="0"/>
            <w:vAlign w:val="center"/>
          </w:tcPr>
          <w:p w14:paraId="11A200EA">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磋商文件咨询</w:t>
            </w:r>
          </w:p>
        </w:tc>
        <w:tc>
          <w:tcPr>
            <w:tcW w:w="6161" w:type="dxa"/>
            <w:noWrap w:val="0"/>
            <w:vAlign w:val="center"/>
          </w:tcPr>
          <w:p w14:paraId="53666CE8">
            <w:pPr>
              <w:pStyle w:val="77"/>
              <w:keepNext w:val="0"/>
              <w:keepLines w:val="0"/>
              <w:suppressLineNumbers w:val="0"/>
              <w:spacing w:before="0" w:beforeAutospacing="0" w:after="0" w:afterAutospacing="0"/>
              <w:ind w:left="0" w:right="0" w:firstLine="315" w:firstLineChars="150"/>
              <w:rPr>
                <w:rFonts w:hint="eastAsia"/>
                <w:color w:val="auto"/>
                <w:sz w:val="21"/>
                <w:szCs w:val="21"/>
                <w:highlight w:val="none"/>
                <w:lang w:val="zh-CN"/>
              </w:rPr>
            </w:pPr>
            <w:r>
              <w:rPr>
                <w:rFonts w:hint="eastAsia"/>
                <w:color w:val="auto"/>
                <w:sz w:val="21"/>
                <w:szCs w:val="21"/>
                <w:highlight w:val="none"/>
                <w:lang w:val="zh-CN"/>
              </w:rPr>
              <w:t>联系人：</w:t>
            </w:r>
            <w:r>
              <w:rPr>
                <w:rFonts w:hint="eastAsia"/>
                <w:color w:val="auto"/>
                <w:sz w:val="21"/>
                <w:szCs w:val="21"/>
                <w:highlight w:val="none"/>
                <w:lang w:val="en-US" w:eastAsia="zh-CN"/>
              </w:rPr>
              <w:t xml:space="preserve">何老师           </w:t>
            </w:r>
            <w:r>
              <w:rPr>
                <w:rFonts w:hint="eastAsia"/>
                <w:color w:val="auto"/>
                <w:sz w:val="21"/>
                <w:szCs w:val="21"/>
                <w:highlight w:val="none"/>
              </w:rPr>
              <w:t>联系电话：</w:t>
            </w:r>
            <w:r>
              <w:rPr>
                <w:rFonts w:hint="eastAsia"/>
                <w:color w:val="auto"/>
                <w:sz w:val="21"/>
                <w:szCs w:val="21"/>
                <w:highlight w:val="none"/>
                <w:lang w:eastAsia="zh-CN"/>
              </w:rPr>
              <w:t>18111361551</w:t>
            </w:r>
          </w:p>
        </w:tc>
      </w:tr>
      <w:tr w14:paraId="3ED540B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226" w:hRule="exact"/>
        </w:trPr>
        <w:tc>
          <w:tcPr>
            <w:tcW w:w="561" w:type="dxa"/>
            <w:noWrap w:val="0"/>
            <w:vAlign w:val="center"/>
          </w:tcPr>
          <w:p w14:paraId="0D6679D2">
            <w:pPr>
              <w:pStyle w:val="77"/>
              <w:keepNext w:val="0"/>
              <w:keepLines w:val="0"/>
              <w:suppressLineNumbers w:val="0"/>
              <w:spacing w:before="0" w:beforeAutospacing="0" w:after="0" w:afterAutospacing="0"/>
              <w:ind w:left="0" w:right="0" w:firstLine="315" w:firstLineChars="150"/>
              <w:rPr>
                <w:rFonts w:hint="default" w:eastAsia="宋体"/>
                <w:color w:val="auto"/>
                <w:sz w:val="21"/>
                <w:szCs w:val="21"/>
                <w:highlight w:val="none"/>
                <w:lang w:val="en-US" w:eastAsia="zh-CN"/>
              </w:rPr>
            </w:pPr>
            <w:r>
              <w:rPr>
                <w:rFonts w:hint="eastAsia"/>
                <w:color w:val="auto"/>
                <w:sz w:val="21"/>
                <w:szCs w:val="21"/>
                <w:highlight w:val="none"/>
                <w:lang w:val="en-US" w:eastAsia="zh-CN"/>
              </w:rPr>
              <w:t>14</w:t>
            </w:r>
          </w:p>
        </w:tc>
        <w:tc>
          <w:tcPr>
            <w:tcW w:w="2450" w:type="dxa"/>
            <w:noWrap w:val="0"/>
            <w:vAlign w:val="center"/>
          </w:tcPr>
          <w:p w14:paraId="3FEAA559">
            <w:pPr>
              <w:pStyle w:val="77"/>
              <w:keepNext w:val="0"/>
              <w:keepLines w:val="0"/>
              <w:suppressLineNumbers w:val="0"/>
              <w:spacing w:before="0" w:beforeAutospacing="0" w:after="0" w:afterAutospacing="0"/>
              <w:ind w:left="0" w:right="0"/>
              <w:jc w:val="center"/>
              <w:rPr>
                <w:rFonts w:hint="eastAsia"/>
                <w:color w:val="auto"/>
                <w:sz w:val="21"/>
                <w:szCs w:val="21"/>
                <w:highlight w:val="none"/>
                <w:lang w:val="zh-CN"/>
              </w:rPr>
            </w:pPr>
            <w:r>
              <w:rPr>
                <w:rFonts w:hint="eastAsia"/>
                <w:color w:val="auto"/>
                <w:sz w:val="21"/>
                <w:szCs w:val="21"/>
                <w:highlight w:val="none"/>
                <w:lang w:val="zh-CN"/>
              </w:rPr>
              <w:t>成交通知书领取</w:t>
            </w:r>
          </w:p>
        </w:tc>
        <w:tc>
          <w:tcPr>
            <w:tcW w:w="6161" w:type="dxa"/>
            <w:noWrap w:val="0"/>
            <w:vAlign w:val="center"/>
          </w:tcPr>
          <w:p w14:paraId="571871F6">
            <w:pPr>
              <w:pStyle w:val="77"/>
              <w:keepNext w:val="0"/>
              <w:keepLines w:val="0"/>
              <w:suppressLineNumbers w:val="0"/>
              <w:spacing w:before="0" w:beforeAutospacing="0" w:after="0" w:afterAutospacing="0"/>
              <w:ind w:left="0" w:right="0" w:firstLine="420" w:firstLineChars="200"/>
              <w:rPr>
                <w:rFonts w:hint="eastAsia"/>
                <w:color w:val="auto"/>
                <w:sz w:val="21"/>
                <w:szCs w:val="21"/>
                <w:highlight w:val="none"/>
                <w:lang w:val="zh-CN"/>
              </w:rPr>
            </w:pPr>
            <w:r>
              <w:rPr>
                <w:rFonts w:hint="eastAsia"/>
                <w:color w:val="auto"/>
                <w:sz w:val="21"/>
                <w:szCs w:val="21"/>
                <w:highlight w:val="none"/>
                <w:lang w:val="zh-CN"/>
              </w:rPr>
              <w:t>采购结果公告在四川信息职业技术学院主页上发布后，请成交供应商凭有效身份证明证件到审计处领取成交通知书（广元市利州区学府路265号综合楼0922办公室）。</w:t>
            </w:r>
          </w:p>
        </w:tc>
      </w:tr>
      <w:bookmarkEnd w:id="20"/>
      <w:bookmarkEnd w:id="21"/>
    </w:tbl>
    <w:p w14:paraId="06E54DD6">
      <w:pPr>
        <w:keepNext w:val="0"/>
        <w:keepLines w:val="0"/>
        <w:pageBreakBefore w:val="0"/>
        <w:widowControl w:val="0"/>
        <w:kinsoku/>
        <w:wordWrap/>
        <w:overflowPunct/>
        <w:topLinePunct w:val="0"/>
        <w:autoSpaceDE/>
        <w:autoSpaceDN/>
        <w:bidi w:val="0"/>
        <w:adjustRightInd w:val="0"/>
        <w:snapToGrid w:val="0"/>
        <w:spacing w:line="360" w:lineRule="auto"/>
        <w:ind w:firstLine="361" w:firstLineChars="150"/>
        <w:jc w:val="left"/>
        <w:textAlignment w:val="auto"/>
        <w:outlineLvl w:val="9"/>
        <w:rPr>
          <w:rFonts w:hint="eastAsia" w:ascii="宋体" w:hAnsi="宋体" w:cs="宋体"/>
          <w:bCs/>
          <w:color w:val="auto"/>
          <w:sz w:val="32"/>
          <w:szCs w:val="32"/>
          <w:highlight w:val="none"/>
        </w:rPr>
      </w:pPr>
      <w:r>
        <w:rPr>
          <w:rFonts w:hint="eastAsia" w:ascii="宋体" w:hAnsi="宋体" w:cs="宋体"/>
          <w:b/>
          <w:color w:val="auto"/>
          <w:sz w:val="24"/>
          <w:highlight w:val="none"/>
        </w:rPr>
        <w:t>一、供应商磋商须知附表</w:t>
      </w:r>
      <w:bookmarkEnd w:id="22"/>
    </w:p>
    <w:p w14:paraId="065D5D0A">
      <w:pPr>
        <w:pStyle w:val="77"/>
        <w:ind w:firstLine="315" w:firstLineChars="150"/>
        <w:rPr>
          <w:rFonts w:hint="eastAsia"/>
          <w:color w:val="auto"/>
          <w:sz w:val="21"/>
          <w:szCs w:val="21"/>
          <w:highlight w:val="none"/>
          <w:lang w:val="zh-CN"/>
        </w:rPr>
      </w:pPr>
    </w:p>
    <w:p w14:paraId="55974D43">
      <w:pPr>
        <w:adjustRightInd w:val="0"/>
        <w:snapToGrid w:val="0"/>
        <w:spacing w:line="360" w:lineRule="auto"/>
        <w:ind w:firstLine="361" w:firstLineChars="150"/>
        <w:jc w:val="center"/>
        <w:rPr>
          <w:rFonts w:hint="eastAsia" w:ascii="宋体" w:hAnsi="宋体" w:cs="宋体"/>
          <w:b/>
          <w:color w:val="auto"/>
          <w:sz w:val="24"/>
          <w:highlight w:val="none"/>
        </w:rPr>
      </w:pPr>
      <w:bookmarkStart w:id="23" w:name="_Toc20549"/>
      <w:bookmarkStart w:id="24" w:name="_Toc8770"/>
      <w:r>
        <w:rPr>
          <w:rFonts w:hint="eastAsia" w:ascii="宋体" w:hAnsi="宋体" w:cs="宋体"/>
          <w:b/>
          <w:color w:val="auto"/>
          <w:sz w:val="24"/>
          <w:highlight w:val="none"/>
        </w:rPr>
        <w:t>二、总  则</w:t>
      </w:r>
      <w:bookmarkEnd w:id="23"/>
      <w:bookmarkEnd w:id="24"/>
    </w:p>
    <w:p w14:paraId="2654CB04">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1.适用范围</w:t>
      </w:r>
    </w:p>
    <w:p w14:paraId="63CFC3DA">
      <w:pPr>
        <w:tabs>
          <w:tab w:val="left" w:pos="7665"/>
        </w:tabs>
        <w:adjustRightInd w:val="0"/>
        <w:snapToGrid w:val="0"/>
        <w:spacing w:line="360"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1.1本磋商文件仅适用于本次磋商</w:t>
      </w:r>
      <w:r>
        <w:rPr>
          <w:rFonts w:hint="eastAsia" w:ascii="宋体" w:hAnsi="宋体" w:eastAsia="宋体" w:cs="宋体"/>
          <w:color w:val="auto"/>
          <w:sz w:val="24"/>
          <w:highlight w:val="none"/>
          <w:lang w:val="en-US" w:eastAsia="zh-CN"/>
        </w:rPr>
        <w:t>采购项目</w:t>
      </w:r>
      <w:r>
        <w:rPr>
          <w:rFonts w:hint="eastAsia" w:ascii="宋体" w:hAnsi="宋体" w:eastAsia="宋体" w:cs="宋体"/>
          <w:color w:val="auto"/>
          <w:sz w:val="24"/>
          <w:highlight w:val="none"/>
        </w:rPr>
        <w:t>。</w:t>
      </w:r>
    </w:p>
    <w:p w14:paraId="780867AB">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1.2本磋商文件的解释权归采购人所有。</w:t>
      </w:r>
    </w:p>
    <w:p w14:paraId="1EF72AC6">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2.采购主体</w:t>
      </w:r>
    </w:p>
    <w:p w14:paraId="7DCB725B">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2.1本次磋商的采购人是</w:t>
      </w:r>
      <w:r>
        <w:rPr>
          <w:rFonts w:hint="eastAsia" w:ascii="宋体" w:hAnsi="宋体" w:cs="宋体"/>
          <w:color w:val="auto"/>
          <w:sz w:val="24"/>
          <w:highlight w:val="none"/>
          <w:u w:val="single"/>
          <w:lang w:eastAsia="zh-CN"/>
        </w:rPr>
        <w:t>四川信息职业技术学院</w:t>
      </w:r>
      <w:r>
        <w:rPr>
          <w:rFonts w:hint="eastAsia" w:ascii="宋体" w:hAnsi="宋体" w:cs="宋体"/>
          <w:color w:val="auto"/>
          <w:sz w:val="24"/>
          <w:highlight w:val="none"/>
        </w:rPr>
        <w:t>。</w:t>
      </w:r>
    </w:p>
    <w:p w14:paraId="47A05CC6">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3.合格供应商（实质性要求）</w:t>
      </w:r>
    </w:p>
    <w:p w14:paraId="3D3A4CED">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合格的供应商应具备以下条件，否则其响应文件按无效处理。</w:t>
      </w:r>
    </w:p>
    <w:p w14:paraId="1695B170">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3.1具备法律法规和本磋商文件规定的资格条件。</w:t>
      </w:r>
    </w:p>
    <w:p w14:paraId="2B956CB1">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3.2不属于禁止参加本项目采购活动的供应商。</w:t>
      </w:r>
    </w:p>
    <w:p w14:paraId="387BAF2B">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3.3按照规定获取了磋商文件，属于实质性参加政府采购活动的供应商。</w:t>
      </w:r>
    </w:p>
    <w:p w14:paraId="5F9C388F">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4.磋商费用</w:t>
      </w:r>
    </w:p>
    <w:p w14:paraId="27458534">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供应商应自行承担参加磋商活动的全部费用。</w:t>
      </w:r>
    </w:p>
    <w:p w14:paraId="779D8509">
      <w:pPr>
        <w:pStyle w:val="79"/>
        <w:snapToGrid w:val="0"/>
        <w:spacing w:line="360" w:lineRule="auto"/>
        <w:ind w:firstLine="361" w:firstLineChars="150"/>
        <w:jc w:val="left"/>
        <w:rPr>
          <w:rFonts w:hint="eastAsia" w:hAnsi="宋体" w:cs="宋体"/>
          <w:color w:val="auto"/>
          <w:sz w:val="24"/>
          <w:highlight w:val="none"/>
        </w:rPr>
      </w:pPr>
      <w:r>
        <w:rPr>
          <w:rFonts w:hint="eastAsia" w:hAnsi="宋体" w:cs="宋体"/>
          <w:b/>
          <w:color w:val="auto"/>
          <w:sz w:val="24"/>
          <w:highlight w:val="none"/>
        </w:rPr>
        <w:t>5.充分、公平竞争保障措施（实质性要求）</w:t>
      </w:r>
    </w:p>
    <w:p w14:paraId="4B98EE55">
      <w:pPr>
        <w:pStyle w:val="79"/>
        <w:snapToGrid w:val="0"/>
        <w:spacing w:line="360" w:lineRule="auto"/>
        <w:ind w:firstLine="360" w:firstLineChars="150"/>
        <w:jc w:val="left"/>
        <w:rPr>
          <w:rFonts w:hint="eastAsia" w:hAnsi="宋体" w:cs="宋体"/>
          <w:color w:val="auto"/>
          <w:sz w:val="28"/>
          <w:szCs w:val="28"/>
          <w:highlight w:val="none"/>
        </w:rPr>
      </w:pPr>
      <w:r>
        <w:rPr>
          <w:rFonts w:hint="eastAsia" w:hAnsi="宋体" w:cs="宋体"/>
          <w:color w:val="auto"/>
          <w:sz w:val="24"/>
          <w:highlight w:val="none"/>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政府采购活动，否则，其响应文件作为无效处理。</w:t>
      </w:r>
    </w:p>
    <w:p w14:paraId="51460B28">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408EBE45">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5.3前期参与供应商处理为采购项目提供整体设计、规范编制或者项目管理、监理、检测等服务的供应商，不得再参加该采购项目的其他采购活动。供应商为采购人、采购代理机构在确定采购需求、编制磋商文件过程中提供咨询论证，其提供的咨询论证意见成为磋商文件中规定的供应商资格条件、技术服务商务要求、评标因素和标准、政府采购合同等实质性内容条款的，视同为采购项目提供规范编制。</w:t>
      </w:r>
    </w:p>
    <w:p w14:paraId="00E5B0B3">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5.4供应商实际控制人或者中高级管理人员，同时是采购代理机构工作人员，不得参与本项目政府采购活动。</w:t>
      </w:r>
    </w:p>
    <w:p w14:paraId="22233F9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5.5同一母公司的两家以上的子公司只能组成联合体参加本项目同一合同项下的采购活动，不得以不同供应商身份同时参加本项目同一合同项下的采购活动。</w:t>
      </w:r>
    </w:p>
    <w:p w14:paraId="67C23F28">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5.6供应商与采购代理机构存在关联关系，或者是采购代理机构的母公司或子公司，不得参加本项目政府采购活动。</w:t>
      </w:r>
    </w:p>
    <w:p w14:paraId="72DD885D">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5.7回避。政府采购活动中，采购人员及相关人员与供应商有下列利害关系之一的，应当回避：</w:t>
      </w:r>
    </w:p>
    <w:p w14:paraId="514B27A0">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(1)参加采购活动前3年内与供应商存在劳动关系；</w:t>
      </w:r>
    </w:p>
    <w:p w14:paraId="5E741C02">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(2)参加采购活动前3年内担任供应商的董事、监事；</w:t>
      </w:r>
    </w:p>
    <w:p w14:paraId="4BAE9715">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(3)参加采购活动前3年内是供应商的控股股东或者实际控制人；</w:t>
      </w:r>
    </w:p>
    <w:p w14:paraId="19CFC5AB">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(4)与供应商的法定代表人或者负责人有夫妻、直系血亲、三代以内旁系血亲或者近姻亲关系；</w:t>
      </w:r>
    </w:p>
    <w:p w14:paraId="4AC05EA4">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(5)与供应商有其他可能影响政府采购活动公平、公正进行的关系。</w:t>
      </w:r>
    </w:p>
    <w:p w14:paraId="1527C6F5">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本项目政府采购活动中需要依法回避的采购人员是指采购人内部负责采购项目的具体经办工作人员和直接分管采购项目的负责人，以及采购代理机构负责采购项目的具体经办工作人员和直接分管采购活动的负责人。本项目政府采购活动中需要依法回避的相关人员是指磋商小组成员。</w:t>
      </w:r>
    </w:p>
    <w:p w14:paraId="33FAF410">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供应商认为采购人员及相关人员与其他供应商有利害关系的，可以向采购代理机构书面提出回避申请，并说明理由。采购代理机构将及时询问被申请回避人员，有利害关系的被申请回避人员应当回避。</w:t>
      </w:r>
    </w:p>
    <w:p w14:paraId="595A9819">
      <w:pPr>
        <w:pStyle w:val="79"/>
        <w:snapToGrid w:val="0"/>
        <w:spacing w:line="360" w:lineRule="auto"/>
        <w:ind w:firstLine="361" w:firstLineChars="150"/>
        <w:jc w:val="left"/>
        <w:rPr>
          <w:rFonts w:hint="eastAsia" w:hAnsi="宋体" w:cs="宋体"/>
          <w:color w:val="auto"/>
          <w:sz w:val="24"/>
          <w:highlight w:val="none"/>
        </w:rPr>
      </w:pPr>
      <w:r>
        <w:rPr>
          <w:rFonts w:hint="eastAsia" w:hAnsi="宋体" w:cs="宋体"/>
          <w:b/>
          <w:color w:val="auto"/>
          <w:sz w:val="24"/>
          <w:highlight w:val="none"/>
        </w:rPr>
        <w:t>6.联合体竞争性磋商（若涉及，实质性要求）</w:t>
      </w:r>
    </w:p>
    <w:p w14:paraId="432A0F5A">
      <w:pPr>
        <w:pStyle w:val="79"/>
        <w:snapToGrid w:val="0"/>
        <w:spacing w:line="360" w:lineRule="auto"/>
        <w:ind w:firstLine="360" w:firstLineChars="150"/>
        <w:jc w:val="left"/>
        <w:rPr>
          <w:rFonts w:hint="eastAsia" w:hAnsi="宋体" w:cs="宋体"/>
          <w:color w:val="auto"/>
          <w:sz w:val="24"/>
          <w:highlight w:val="none"/>
        </w:rPr>
      </w:pPr>
      <w:r>
        <w:rPr>
          <w:rFonts w:hint="eastAsia" w:hAnsi="宋体" w:cs="宋体"/>
          <w:color w:val="auto"/>
          <w:sz w:val="24"/>
          <w:highlight w:val="none"/>
        </w:rPr>
        <w:t>本项目不接受联合体参加。</w:t>
      </w:r>
    </w:p>
    <w:p w14:paraId="3609BDE1">
      <w:pPr>
        <w:pStyle w:val="79"/>
        <w:snapToGrid w:val="0"/>
        <w:spacing w:line="360" w:lineRule="auto"/>
        <w:ind w:firstLine="361" w:firstLineChars="150"/>
        <w:jc w:val="left"/>
        <w:rPr>
          <w:rFonts w:hint="eastAsia" w:hAnsi="宋体" w:cs="宋体"/>
          <w:color w:val="auto"/>
          <w:sz w:val="24"/>
          <w:highlight w:val="none"/>
        </w:rPr>
      </w:pPr>
      <w:r>
        <w:rPr>
          <w:rFonts w:hint="eastAsia" w:hAnsi="宋体" w:cs="宋体"/>
          <w:b/>
          <w:color w:val="auto"/>
          <w:sz w:val="24"/>
          <w:highlight w:val="none"/>
        </w:rPr>
        <w:t>7.磋商保证金（若涉及，实质性要求）</w:t>
      </w:r>
    </w:p>
    <w:p w14:paraId="73B8E534">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本项目不收取磋商保证金。</w:t>
      </w:r>
    </w:p>
    <w:p w14:paraId="04AEBF96">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8.响应文件有效期（实质性要求）</w:t>
      </w:r>
    </w:p>
    <w:p w14:paraId="2A02EE07">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本项目响应文件有效期为递交磋商响应文件截止之日起</w:t>
      </w:r>
      <w:r>
        <w:rPr>
          <w:rFonts w:hint="eastAsia" w:ascii="宋体" w:hAnsi="宋体" w:cs="宋体"/>
          <w:color w:val="auto"/>
          <w:sz w:val="24"/>
          <w:highlight w:val="none"/>
          <w:u w:val="single"/>
        </w:rPr>
        <w:t>90</w:t>
      </w:r>
      <w:r>
        <w:rPr>
          <w:rFonts w:hint="eastAsia" w:ascii="宋体" w:hAnsi="宋体" w:cs="宋体"/>
          <w:color w:val="auto"/>
          <w:sz w:val="24"/>
          <w:highlight w:val="none"/>
        </w:rPr>
        <w:t>天。供应商响应文件中必须载明响应文件有效期，响应文件中载明的响应文件有效期可以长于磋商文件规定的期限，但不得短于磋商文件规定的期限。否则，其响应文件将作为无效处理。</w:t>
      </w:r>
    </w:p>
    <w:p w14:paraId="27C2EB9A">
      <w:pPr>
        <w:pStyle w:val="13"/>
        <w:adjustRightInd w:val="0"/>
        <w:snapToGrid w:val="0"/>
        <w:spacing w:line="360" w:lineRule="auto"/>
        <w:ind w:firstLine="361" w:firstLineChars="150"/>
        <w:jc w:val="left"/>
        <w:rPr>
          <w:rFonts w:hint="eastAsia" w:ascii="宋体" w:hAnsi="宋体" w:cs="宋体"/>
          <w:bCs/>
          <w:color w:val="auto"/>
          <w:sz w:val="24"/>
          <w:szCs w:val="24"/>
          <w:highlight w:val="none"/>
        </w:rPr>
      </w:pPr>
      <w:r>
        <w:rPr>
          <w:rFonts w:hint="eastAsia" w:ascii="宋体" w:hAnsi="宋体" w:cs="宋体"/>
          <w:b/>
          <w:color w:val="auto"/>
          <w:sz w:val="24"/>
          <w:highlight w:val="none"/>
        </w:rPr>
        <w:t>9.</w:t>
      </w:r>
      <w:r>
        <w:rPr>
          <w:rFonts w:hint="eastAsia" w:ascii="宋体" w:hAnsi="宋体" w:cs="宋体"/>
          <w:b/>
          <w:bCs/>
          <w:color w:val="auto"/>
          <w:sz w:val="24"/>
          <w:szCs w:val="24"/>
          <w:highlight w:val="none"/>
        </w:rPr>
        <w:t>知识产权（实质性要求）</w:t>
      </w:r>
    </w:p>
    <w:p w14:paraId="194D2023">
      <w:pPr>
        <w:pStyle w:val="13"/>
        <w:adjustRightInd w:val="0"/>
        <w:snapToGrid w:val="0"/>
        <w:spacing w:line="360" w:lineRule="auto"/>
        <w:ind w:firstLine="360" w:firstLineChars="15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9.1</w:t>
      </w:r>
      <w:r>
        <w:rPr>
          <w:rFonts w:hint="eastAsia" w:ascii="宋体" w:hAnsi="宋体" w:cs="宋体"/>
          <w:color w:val="auto"/>
          <w:sz w:val="24"/>
          <w:highlight w:val="none"/>
        </w:rPr>
        <w:t>供应商</w:t>
      </w:r>
      <w:r>
        <w:rPr>
          <w:rFonts w:hint="eastAsia" w:ascii="宋体" w:hAnsi="宋体" w:cs="宋体"/>
          <w:color w:val="auto"/>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color w:val="auto"/>
          <w:sz w:val="24"/>
          <w:highlight w:val="none"/>
        </w:rPr>
        <w:t>供应商</w:t>
      </w:r>
      <w:r>
        <w:rPr>
          <w:rFonts w:hint="eastAsia" w:ascii="宋体" w:hAnsi="宋体" w:cs="宋体"/>
          <w:color w:val="auto"/>
          <w:sz w:val="24"/>
          <w:szCs w:val="24"/>
          <w:highlight w:val="none"/>
        </w:rPr>
        <w:t>承担所有相关责任。</w:t>
      </w:r>
    </w:p>
    <w:p w14:paraId="4F8A9773">
      <w:pPr>
        <w:pStyle w:val="13"/>
        <w:adjustRightInd w:val="0"/>
        <w:snapToGrid w:val="0"/>
        <w:spacing w:line="360" w:lineRule="auto"/>
        <w:ind w:firstLine="360" w:firstLineChars="15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9.2除非磋商文件特别规定，采购人享有本项目实施过程中产生的知识成果及知识产权。</w:t>
      </w:r>
    </w:p>
    <w:p w14:paraId="6E1A14F9">
      <w:pPr>
        <w:adjustRightInd w:val="0"/>
        <w:snapToGrid w:val="0"/>
        <w:spacing w:line="360" w:lineRule="auto"/>
        <w:ind w:firstLine="360" w:firstLineChars="150"/>
        <w:jc w:val="left"/>
        <w:rPr>
          <w:rFonts w:hint="eastAsia" w:ascii="宋体" w:hAnsi="宋体" w:cs="宋体"/>
          <w:color w:val="auto"/>
          <w:sz w:val="32"/>
          <w:szCs w:val="32"/>
          <w:highlight w:val="none"/>
        </w:rPr>
      </w:pPr>
      <w:r>
        <w:rPr>
          <w:rFonts w:hint="eastAsia" w:ascii="宋体" w:hAnsi="宋体" w:cs="宋体"/>
          <w:color w:val="auto"/>
          <w:sz w:val="24"/>
          <w:highlight w:val="none"/>
        </w:rPr>
        <w:t>9.3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3DA0D90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9.4如采用供应商所不拥有的知识产权，则在报价中必须包括合法获取该知识产权的相关费用。</w:t>
      </w:r>
    </w:p>
    <w:p w14:paraId="741EA350">
      <w:pPr>
        <w:pStyle w:val="11"/>
        <w:rPr>
          <w:rFonts w:hint="eastAsia"/>
          <w:color w:val="auto"/>
          <w:highlight w:val="none"/>
        </w:rPr>
      </w:pPr>
    </w:p>
    <w:p w14:paraId="17DE51CF">
      <w:pPr>
        <w:adjustRightInd w:val="0"/>
        <w:snapToGrid w:val="0"/>
        <w:spacing w:line="360" w:lineRule="auto"/>
        <w:ind w:firstLine="361" w:firstLineChars="150"/>
        <w:jc w:val="center"/>
        <w:rPr>
          <w:rFonts w:hint="eastAsia" w:ascii="宋体" w:hAnsi="宋体" w:cs="宋体"/>
          <w:b/>
          <w:color w:val="auto"/>
          <w:sz w:val="24"/>
          <w:highlight w:val="none"/>
        </w:rPr>
      </w:pPr>
      <w:bookmarkStart w:id="25" w:name="_Toc12068"/>
      <w:bookmarkStart w:id="26" w:name="_Toc19124"/>
      <w:r>
        <w:rPr>
          <w:rFonts w:hint="eastAsia" w:ascii="宋体" w:hAnsi="宋体" w:cs="宋体"/>
          <w:b/>
          <w:color w:val="auto"/>
          <w:sz w:val="24"/>
          <w:highlight w:val="none"/>
        </w:rPr>
        <w:t>三、磋商文件</w:t>
      </w:r>
      <w:bookmarkEnd w:id="25"/>
      <w:bookmarkEnd w:id="26"/>
    </w:p>
    <w:p w14:paraId="745B7653">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10．磋商文件的构成（实质性要求）</w:t>
      </w:r>
    </w:p>
    <w:p w14:paraId="61B3A399">
      <w:pPr>
        <w:tabs>
          <w:tab w:val="left" w:pos="720"/>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10</w:t>
      </w:r>
      <w:r>
        <w:rPr>
          <w:rFonts w:hint="eastAsia" w:ascii="宋体" w:hAnsi="宋体" w:cs="宋体"/>
          <w:b/>
          <w:bCs/>
          <w:color w:val="auto"/>
          <w:sz w:val="24"/>
          <w:highlight w:val="none"/>
        </w:rPr>
        <w:t>.</w:t>
      </w:r>
      <w:r>
        <w:rPr>
          <w:rFonts w:hint="eastAsia" w:ascii="宋体" w:hAnsi="宋体" w:cs="宋体"/>
          <w:color w:val="auto"/>
          <w:sz w:val="24"/>
          <w:highlight w:val="none"/>
        </w:rPr>
        <w:t>1磋商文件是供应商准备响应文件和参加磋商的依据，同时也是磋商的重要依据。磋商文件用以阐明磋商项目所需的资质、技术、服务及报价等要求、磋商程序、有关规定和注意事项以及合同主要条款等。</w:t>
      </w:r>
    </w:p>
    <w:p w14:paraId="2F7188F3">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10</w:t>
      </w:r>
      <w:r>
        <w:rPr>
          <w:rFonts w:hint="eastAsia" w:ascii="宋体" w:hAnsi="宋体" w:cs="宋体"/>
          <w:b/>
          <w:bCs/>
          <w:color w:val="auto"/>
          <w:sz w:val="24"/>
          <w:highlight w:val="none"/>
        </w:rPr>
        <w:t>.</w:t>
      </w:r>
      <w:r>
        <w:rPr>
          <w:rFonts w:hint="eastAsia" w:ascii="宋体" w:hAnsi="宋体" w:cs="宋体"/>
          <w:color w:val="auto"/>
          <w:sz w:val="24"/>
          <w:highlight w:val="none"/>
        </w:rPr>
        <w:t>2供应商应认真阅读和充分理解磋商文件中所有的事项、格式条款和规范要求。供应商应详细阅读磋商文件的全部内容，按照磋商文件的要求提供响应文件，并保证所提供的全部资料的真实性和有效性，一经发现有虚假行为的，将取消其参加磋商或成交资格，并承担相应的法律责任。</w:t>
      </w:r>
    </w:p>
    <w:p w14:paraId="34A2ABEB">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11.磋商文件的澄清和修改</w:t>
      </w:r>
    </w:p>
    <w:p w14:paraId="1602AE04">
      <w:pPr>
        <w:keepNext w:val="0"/>
        <w:keepLines w:val="0"/>
        <w:pageBreakBefore w:val="0"/>
        <w:widowControl w:val="0"/>
        <w:tabs>
          <w:tab w:val="left" w:pos="720"/>
        </w:tabs>
        <w:kinsoku/>
        <w:wordWrap/>
        <w:overflowPunct/>
        <w:topLinePunct w:val="0"/>
        <w:autoSpaceDE/>
        <w:autoSpaceDN/>
        <w:bidi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11.1在递交响应文件截止时间前，采购人、采购代理机构可以对磋商文件进行澄清或者修改。</w:t>
      </w:r>
    </w:p>
    <w:p w14:paraId="0845B093">
      <w:pPr>
        <w:keepNext w:val="0"/>
        <w:keepLines w:val="0"/>
        <w:pageBreakBefore w:val="0"/>
        <w:widowControl w:val="0"/>
        <w:tabs>
          <w:tab w:val="left" w:pos="720"/>
        </w:tabs>
        <w:kinsoku/>
        <w:wordWrap/>
        <w:overflowPunct/>
        <w:topLinePunct w:val="0"/>
        <w:autoSpaceDE/>
        <w:autoSpaceDN/>
        <w:bidi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b w:val="0"/>
          <w:bCs w:val="0"/>
          <w:color w:val="auto"/>
          <w:sz w:val="24"/>
          <w:highlight w:val="none"/>
        </w:rPr>
        <w:t>11.2</w:t>
      </w:r>
      <w:r>
        <w:rPr>
          <w:rFonts w:hint="eastAsia" w:ascii="宋体" w:hAnsi="宋体" w:cs="宋体"/>
          <w:b/>
          <w:bCs/>
          <w:color w:val="auto"/>
          <w:sz w:val="24"/>
          <w:highlight w:val="none"/>
        </w:rPr>
        <w:t>本项目磋商文件及后续所有澄清、修改、更正、补充通知均在</w:t>
      </w:r>
      <w:r>
        <w:rPr>
          <w:rFonts w:hint="eastAsia" w:ascii="宋体" w:hAnsi="宋体" w:cs="宋体"/>
          <w:b/>
          <w:bCs/>
          <w:color w:val="auto"/>
          <w:sz w:val="24"/>
          <w:highlight w:val="none"/>
          <w:lang w:val="en-US" w:eastAsia="zh-CN"/>
        </w:rPr>
        <w:t>四川信息职业技术学院</w:t>
      </w:r>
      <w:r>
        <w:rPr>
          <w:rFonts w:hint="eastAsia" w:ascii="宋体" w:hAnsi="宋体" w:cs="宋体"/>
          <w:b/>
          <w:bCs/>
          <w:color w:val="auto"/>
          <w:sz w:val="24"/>
          <w:highlight w:val="none"/>
        </w:rPr>
        <w:t>官网</w:t>
      </w:r>
      <w:r>
        <w:rPr>
          <w:rFonts w:hint="eastAsia" w:ascii="宋体" w:hAnsi="宋体" w:cs="宋体"/>
          <w:b/>
          <w:bCs/>
          <w:color w:val="auto"/>
          <w:sz w:val="24"/>
          <w:highlight w:val="none"/>
          <w:lang w:val="en-US" w:eastAsia="zh-CN"/>
        </w:rPr>
        <w:t>—通知公告栏</w:t>
      </w:r>
      <w:r>
        <w:rPr>
          <w:rFonts w:hint="eastAsia" w:ascii="宋体" w:hAnsi="宋体" w:cs="宋体"/>
          <w:b/>
          <w:bCs/>
          <w:color w:val="auto"/>
          <w:sz w:val="24"/>
          <w:highlight w:val="none"/>
        </w:rPr>
        <w:t>统一发布，采购人不再向供应商逐</w:t>
      </w:r>
      <w:r>
        <w:rPr>
          <w:rFonts w:hint="eastAsia" w:ascii="宋体" w:hAnsi="宋体" w:cs="宋体"/>
          <w:b/>
          <w:bCs/>
          <w:color w:val="auto"/>
          <w:sz w:val="24"/>
          <w:highlight w:val="none"/>
          <w:lang w:val="en-US" w:eastAsia="zh-CN"/>
        </w:rPr>
        <w:t>一</w:t>
      </w:r>
      <w:r>
        <w:rPr>
          <w:rFonts w:hint="eastAsia" w:ascii="宋体" w:hAnsi="宋体" w:cs="宋体"/>
          <w:b/>
          <w:bCs/>
          <w:color w:val="auto"/>
          <w:sz w:val="24"/>
          <w:highlight w:val="none"/>
        </w:rPr>
        <w:t>发送通知。供应商应自行主动关注网站发布的最新项目信息，因供应商未及时查阅导致的一切后果由供应商自行承担。</w:t>
      </w:r>
      <w:r>
        <w:rPr>
          <w:rFonts w:hint="eastAsia" w:ascii="宋体" w:hAnsi="宋体" w:cs="宋体"/>
          <w:b w:val="0"/>
          <w:bCs w:val="0"/>
          <w:color w:val="auto"/>
          <w:sz w:val="24"/>
          <w:highlight w:val="none"/>
        </w:rPr>
        <w:t>该</w:t>
      </w:r>
      <w:r>
        <w:rPr>
          <w:rFonts w:hint="eastAsia" w:ascii="宋体" w:hAnsi="宋体" w:cs="宋体"/>
          <w:color w:val="auto"/>
          <w:sz w:val="24"/>
          <w:highlight w:val="none"/>
        </w:rPr>
        <w:t>澄清或者修改的内容为磋商文件的组成部分，澄清或者修改的内容可能影响响应文件编制的，采购人发布公告并书面通知供应商的时间，应当在提交首次响应文件截止之日起起</w:t>
      </w:r>
      <w:r>
        <w:rPr>
          <w:rFonts w:hint="eastAsia" w:ascii="宋体" w:hAnsi="宋体" w:cs="宋体"/>
          <w:color w:val="auto"/>
          <w:sz w:val="24"/>
          <w:highlight w:val="none"/>
          <w:lang w:val="en-US" w:eastAsia="zh-CN"/>
        </w:rPr>
        <w:t>5个工作</w:t>
      </w:r>
      <w:r>
        <w:rPr>
          <w:rFonts w:hint="eastAsia" w:ascii="宋体" w:hAnsi="宋体" w:cs="宋体"/>
          <w:color w:val="auto"/>
          <w:sz w:val="24"/>
          <w:highlight w:val="none"/>
        </w:rPr>
        <w:t>日前；不足上述时间的，应当顺延递交响应文件的截止时间。</w:t>
      </w:r>
    </w:p>
    <w:p w14:paraId="00FB30B2">
      <w:pPr>
        <w:keepNext w:val="0"/>
        <w:keepLines w:val="0"/>
        <w:pageBreakBefore w:val="0"/>
        <w:widowControl w:val="0"/>
        <w:tabs>
          <w:tab w:val="left" w:pos="7665"/>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11.3供应商认为采购人需要对磋商文件进行澄清或者修改的，可以以书面形式向采购人提出申请，由采购人决定是否采纳供应商的申请事项。若采纳，采购</w:t>
      </w:r>
      <w:r>
        <w:rPr>
          <w:rFonts w:hint="eastAsia" w:ascii="宋体" w:hAnsi="宋体" w:cs="宋体"/>
          <w:color w:val="auto"/>
          <w:sz w:val="24"/>
          <w:highlight w:val="none"/>
          <w:lang w:val="en-US" w:eastAsia="zh-CN"/>
        </w:rPr>
        <w:t>人</w:t>
      </w:r>
      <w:r>
        <w:rPr>
          <w:rFonts w:hint="eastAsia" w:ascii="宋体" w:hAnsi="宋体" w:cs="宋体"/>
          <w:color w:val="auto"/>
          <w:sz w:val="24"/>
          <w:highlight w:val="none"/>
        </w:rPr>
        <w:t>将视情况采用适当方式予以澄清或以书面形式予以答复。</w:t>
      </w:r>
    </w:p>
    <w:p w14:paraId="061117B0">
      <w:pPr>
        <w:tabs>
          <w:tab w:val="left" w:pos="7665"/>
        </w:tabs>
        <w:adjustRightInd w:val="0"/>
        <w:snapToGrid w:val="0"/>
        <w:spacing w:line="360" w:lineRule="auto"/>
        <w:ind w:firstLine="361" w:firstLineChars="150"/>
        <w:jc w:val="left"/>
        <w:rPr>
          <w:rFonts w:hint="eastAsia" w:ascii="宋体" w:hAnsi="宋体" w:cs="宋体"/>
          <w:b/>
          <w:bCs/>
          <w:color w:val="auto"/>
          <w:sz w:val="24"/>
          <w:highlight w:val="none"/>
        </w:rPr>
      </w:pPr>
      <w:r>
        <w:rPr>
          <w:rFonts w:hint="eastAsia" w:ascii="宋体" w:hAnsi="宋体" w:cs="宋体"/>
          <w:b/>
          <w:bCs/>
          <w:color w:val="auto"/>
          <w:sz w:val="24"/>
          <w:highlight w:val="none"/>
        </w:rPr>
        <w:t>12.答疑会和现场考察</w:t>
      </w:r>
    </w:p>
    <w:p w14:paraId="5E4E70AB">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12.1根据采购项目和具体情况，采购人认为有必要，可以在磋商文件提供期限截止后响应文件提交截止前，组织已获取磋商文件的潜在供应商现场考察或者召开答疑会。</w:t>
      </w:r>
    </w:p>
    <w:p w14:paraId="18649394">
      <w:pPr>
        <w:tabs>
          <w:tab w:val="left" w:pos="7665"/>
        </w:tabs>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12.2采购人组织现场考察或者召开答疑会的，将以书面形式通知所有获取磋商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06BC469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12.3供应商考察现场或者参加答疑会所发生的一切费用由供应商自己承担。</w:t>
      </w:r>
    </w:p>
    <w:p w14:paraId="78FE8CEE">
      <w:pPr>
        <w:pStyle w:val="11"/>
        <w:rPr>
          <w:rFonts w:hint="eastAsia"/>
          <w:color w:val="auto"/>
          <w:highlight w:val="none"/>
        </w:rPr>
      </w:pPr>
    </w:p>
    <w:p w14:paraId="15EA90DD">
      <w:pPr>
        <w:pStyle w:val="12"/>
        <w:rPr>
          <w:rFonts w:hint="eastAsia"/>
          <w:color w:val="auto"/>
          <w:highlight w:val="none"/>
        </w:rPr>
      </w:pPr>
    </w:p>
    <w:p w14:paraId="78103F88">
      <w:pPr>
        <w:pStyle w:val="12"/>
        <w:rPr>
          <w:rFonts w:hint="eastAsia"/>
          <w:color w:val="auto"/>
          <w:highlight w:val="none"/>
        </w:rPr>
      </w:pPr>
    </w:p>
    <w:p w14:paraId="6E8DE6F6">
      <w:pPr>
        <w:adjustRightInd w:val="0"/>
        <w:snapToGrid w:val="0"/>
        <w:spacing w:line="360" w:lineRule="auto"/>
        <w:ind w:firstLine="361" w:firstLineChars="150"/>
        <w:jc w:val="center"/>
        <w:rPr>
          <w:rFonts w:hint="eastAsia" w:ascii="宋体" w:hAnsi="宋体" w:cs="宋体"/>
          <w:b/>
          <w:color w:val="auto"/>
          <w:sz w:val="24"/>
          <w:highlight w:val="none"/>
        </w:rPr>
      </w:pPr>
      <w:bookmarkStart w:id="27" w:name="_Toc31091"/>
      <w:bookmarkStart w:id="28" w:name="_Toc9323"/>
      <w:r>
        <w:rPr>
          <w:rFonts w:hint="eastAsia" w:ascii="宋体" w:hAnsi="宋体" w:cs="宋体"/>
          <w:b/>
          <w:color w:val="auto"/>
          <w:sz w:val="24"/>
          <w:highlight w:val="none"/>
        </w:rPr>
        <w:t>四、响应文件</w:t>
      </w:r>
      <w:bookmarkEnd w:id="27"/>
      <w:bookmarkEnd w:id="28"/>
    </w:p>
    <w:p w14:paraId="5527279D">
      <w:pPr>
        <w:adjustRightInd w:val="0"/>
        <w:snapToGrid w:val="0"/>
        <w:spacing w:line="360" w:lineRule="auto"/>
        <w:ind w:firstLine="361" w:firstLineChars="150"/>
        <w:jc w:val="left"/>
        <w:rPr>
          <w:rFonts w:hint="eastAsia" w:ascii="宋体" w:hAnsi="宋体" w:cs="宋体"/>
          <w:color w:val="auto"/>
          <w:sz w:val="24"/>
          <w:highlight w:val="none"/>
        </w:rPr>
      </w:pPr>
      <w:bookmarkStart w:id="29" w:name="_Toc183582228"/>
      <w:bookmarkStart w:id="30" w:name="_Toc217446055"/>
      <w:bookmarkStart w:id="31" w:name="_Toc183682365"/>
      <w:r>
        <w:rPr>
          <w:rFonts w:hint="eastAsia" w:ascii="宋体" w:hAnsi="宋体" w:cs="宋体"/>
          <w:b/>
          <w:color w:val="auto"/>
          <w:sz w:val="24"/>
          <w:highlight w:val="none"/>
        </w:rPr>
        <w:t>13.响应文件的组成（实质性要求）</w:t>
      </w:r>
    </w:p>
    <w:p w14:paraId="28233B32">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供应商应按照磋商文件的规定和要求编制响应文件。</w:t>
      </w:r>
    </w:p>
    <w:p w14:paraId="6EECE50B">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14.响应文件的语言（实质性要求）</w:t>
      </w:r>
    </w:p>
    <w:p w14:paraId="48434198">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14.1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30170CB8">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14.2翻译的中文资料与外文资料如果出现差异和矛盾，以中文为准。但不能故意错误翻译，否则，供应商的响应文件将作为无效处理。</w:t>
      </w:r>
    </w:p>
    <w:p w14:paraId="1543CD44">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15．计量单位（实质性要求）</w:t>
      </w:r>
    </w:p>
    <w:p w14:paraId="16317FFA">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除磋商文件中另有规定外，本次采购项目所有合同项下的报价均采用国家法定的计量单位。</w:t>
      </w:r>
    </w:p>
    <w:p w14:paraId="297B752F">
      <w:pPr>
        <w:adjustRightInd w:val="0"/>
        <w:snapToGrid w:val="0"/>
        <w:spacing w:line="360" w:lineRule="auto"/>
        <w:ind w:firstLine="361" w:firstLineChars="150"/>
        <w:jc w:val="left"/>
        <w:rPr>
          <w:rFonts w:hint="eastAsia" w:ascii="宋体" w:hAnsi="宋体" w:cs="宋体"/>
          <w:bCs/>
          <w:color w:val="auto"/>
          <w:sz w:val="24"/>
          <w:highlight w:val="none"/>
        </w:rPr>
      </w:pPr>
      <w:r>
        <w:rPr>
          <w:rFonts w:hint="eastAsia" w:ascii="宋体" w:hAnsi="宋体" w:cs="宋体"/>
          <w:b/>
          <w:bCs/>
          <w:color w:val="auto"/>
          <w:sz w:val="24"/>
          <w:highlight w:val="none"/>
        </w:rPr>
        <w:t>16.</w:t>
      </w:r>
      <w:r>
        <w:rPr>
          <w:rFonts w:hint="eastAsia" w:ascii="宋体" w:hAnsi="宋体" w:cs="宋体"/>
          <w:b/>
          <w:color w:val="auto"/>
          <w:sz w:val="24"/>
          <w:highlight w:val="none"/>
        </w:rPr>
        <w:t>报价</w:t>
      </w:r>
      <w:r>
        <w:rPr>
          <w:rFonts w:hint="eastAsia" w:ascii="宋体" w:hAnsi="宋体" w:cs="宋体"/>
          <w:b/>
          <w:bCs/>
          <w:color w:val="auto"/>
          <w:sz w:val="24"/>
          <w:highlight w:val="none"/>
        </w:rPr>
        <w:t>货币（实质性要求）</w:t>
      </w:r>
    </w:p>
    <w:p w14:paraId="79896F75">
      <w:pPr>
        <w:adjustRightInd w:val="0"/>
        <w:snapToGrid w:val="0"/>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本次磋商项目的</w:t>
      </w:r>
      <w:r>
        <w:rPr>
          <w:rFonts w:hint="eastAsia" w:ascii="宋体" w:hAnsi="宋体" w:cs="宋体"/>
          <w:color w:val="auto"/>
          <w:sz w:val="24"/>
          <w:highlight w:val="none"/>
        </w:rPr>
        <w:t>报价货币为</w:t>
      </w:r>
      <w:r>
        <w:rPr>
          <w:rFonts w:hint="eastAsia" w:ascii="宋体" w:hAnsi="宋体" w:cs="宋体"/>
          <w:bCs/>
          <w:color w:val="auto"/>
          <w:sz w:val="24"/>
          <w:highlight w:val="none"/>
        </w:rPr>
        <w:t>人民币，报价以磋商文件规定为准。</w:t>
      </w:r>
    </w:p>
    <w:p w14:paraId="29097AF6">
      <w:pPr>
        <w:adjustRightInd w:val="0"/>
        <w:snapToGrid w:val="0"/>
        <w:spacing w:line="360" w:lineRule="auto"/>
        <w:ind w:firstLine="361" w:firstLineChars="150"/>
        <w:jc w:val="left"/>
        <w:rPr>
          <w:rFonts w:hint="eastAsia" w:ascii="宋体" w:hAnsi="宋体" w:cs="宋体"/>
          <w:bCs/>
          <w:color w:val="auto"/>
          <w:sz w:val="24"/>
          <w:highlight w:val="none"/>
        </w:rPr>
      </w:pPr>
      <w:r>
        <w:rPr>
          <w:rFonts w:hint="eastAsia" w:ascii="宋体" w:hAnsi="宋体" w:cs="宋体"/>
          <w:b/>
          <w:bCs/>
          <w:color w:val="auto"/>
          <w:sz w:val="24"/>
          <w:highlight w:val="none"/>
        </w:rPr>
        <w:t>17.响应文件格式</w:t>
      </w:r>
    </w:p>
    <w:p w14:paraId="4D69FB06">
      <w:pPr>
        <w:adjustRightInd w:val="0"/>
        <w:snapToGrid w:val="0"/>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17.1供应商应执行磋商文件第八章的规定要求。</w:t>
      </w:r>
    </w:p>
    <w:p w14:paraId="472AA5E0">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17.2对于没有格式要求的磋商文件由供应商自行编写。</w:t>
      </w:r>
    </w:p>
    <w:p w14:paraId="4C16D010">
      <w:pPr>
        <w:topLinePunct/>
        <w:adjustRightInd w:val="0"/>
        <w:snapToGrid w:val="0"/>
        <w:spacing w:line="360" w:lineRule="auto"/>
        <w:ind w:firstLine="361" w:firstLineChars="150"/>
        <w:jc w:val="left"/>
        <w:rPr>
          <w:rFonts w:hint="eastAsia" w:ascii="宋体" w:hAnsi="宋体" w:cs="宋体"/>
          <w:color w:val="auto"/>
          <w:kern w:val="0"/>
          <w:sz w:val="24"/>
          <w:szCs w:val="21"/>
          <w:highlight w:val="none"/>
        </w:rPr>
      </w:pPr>
      <w:r>
        <w:rPr>
          <w:rFonts w:hint="eastAsia" w:ascii="宋体" w:hAnsi="宋体" w:cs="宋体"/>
          <w:b/>
          <w:color w:val="auto"/>
          <w:sz w:val="24"/>
          <w:highlight w:val="none"/>
        </w:rPr>
        <w:t>18.响应文件的印制和签署</w:t>
      </w:r>
    </w:p>
    <w:p w14:paraId="50B2173F">
      <w:pPr>
        <w:topLinePunct/>
        <w:adjustRightInd w:val="0"/>
        <w:snapToGrid w:val="0"/>
        <w:spacing w:line="360" w:lineRule="auto"/>
        <w:ind w:firstLine="360" w:firstLineChars="150"/>
        <w:jc w:val="left"/>
        <w:rPr>
          <w:rFonts w:hint="eastAsia" w:ascii="宋体" w:hAnsi="宋体" w:cs="宋体"/>
          <w:color w:val="auto"/>
          <w:kern w:val="0"/>
          <w:sz w:val="24"/>
          <w:szCs w:val="21"/>
          <w:highlight w:val="none"/>
        </w:rPr>
      </w:pPr>
      <w:r>
        <w:rPr>
          <w:rFonts w:hint="eastAsia" w:ascii="宋体" w:hAnsi="宋体" w:cs="宋体"/>
          <w:color w:val="auto"/>
          <w:kern w:val="0"/>
          <w:sz w:val="24"/>
          <w:szCs w:val="21"/>
          <w:highlight w:val="none"/>
        </w:rPr>
        <w:t>18.1响应文件一式3份，正本1份、副本2份。并明确标明“正本”和“副本”字样</w:t>
      </w:r>
      <w:r>
        <w:rPr>
          <w:rFonts w:hint="eastAsia" w:ascii="宋体" w:hAnsi="宋体" w:cs="宋体"/>
          <w:color w:val="auto"/>
          <w:kern w:val="0"/>
          <w:sz w:val="24"/>
          <w:szCs w:val="21"/>
          <w:highlight w:val="none"/>
          <w:lang w:val="en-US" w:eastAsia="zh-CN"/>
        </w:rPr>
        <w:t>和包件号</w:t>
      </w:r>
      <w:r>
        <w:rPr>
          <w:rFonts w:hint="eastAsia" w:ascii="宋体" w:hAnsi="宋体" w:cs="宋体"/>
          <w:color w:val="auto"/>
          <w:kern w:val="0"/>
          <w:sz w:val="24"/>
          <w:szCs w:val="21"/>
          <w:highlight w:val="none"/>
        </w:rPr>
        <w:t>，响应文件正本和副本如有不一致之处，以正本为准。</w:t>
      </w:r>
    </w:p>
    <w:p w14:paraId="6C6894DA">
      <w:pPr>
        <w:topLinePunct/>
        <w:adjustRightInd w:val="0"/>
        <w:snapToGrid w:val="0"/>
        <w:spacing w:line="360" w:lineRule="auto"/>
        <w:ind w:firstLine="360" w:firstLineChars="150"/>
        <w:jc w:val="left"/>
        <w:rPr>
          <w:rFonts w:hint="eastAsia" w:ascii="宋体" w:hAnsi="宋体" w:cs="宋体"/>
          <w:color w:val="auto"/>
          <w:kern w:val="0"/>
          <w:sz w:val="24"/>
          <w:szCs w:val="21"/>
          <w:highlight w:val="none"/>
        </w:rPr>
      </w:pPr>
      <w:r>
        <w:rPr>
          <w:rFonts w:hint="eastAsia" w:ascii="宋体" w:hAnsi="宋体" w:cs="宋体"/>
          <w:color w:val="auto"/>
          <w:kern w:val="0"/>
          <w:sz w:val="24"/>
          <w:szCs w:val="21"/>
          <w:highlight w:val="none"/>
        </w:rPr>
        <w:t>18.2电子文档1份（电子文档为用U盘存储的响应文件正本扫描件，pdf格式）电子文档与响应文件正本扫描件一致。</w:t>
      </w:r>
    </w:p>
    <w:p w14:paraId="2EA599BD">
      <w:pPr>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18.3响应文件正本和副本均需在规定签章处签字和盖章。响应文件副本可采用正本的复印件。</w:t>
      </w:r>
    </w:p>
    <w:p w14:paraId="13A1FF6D">
      <w:pPr>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18.4响应文件的打印和书写应清楚工整，任何行间插字、涂改或增删，必须由供应商的法定代表人或其授权代表签字并盖供应商公章。</w:t>
      </w:r>
    </w:p>
    <w:p w14:paraId="3C05C07A">
      <w:pPr>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18.5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08036C0">
      <w:pPr>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18.6响应文件正本和副本需要逐页编目编码。</w:t>
      </w:r>
    </w:p>
    <w:p w14:paraId="745830F7">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18.7响应文件正本和副本应当采用胶装方式装订成册，不得散装或者合页装订。</w:t>
      </w:r>
    </w:p>
    <w:p w14:paraId="66435B8F">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18.8响应文件应根据磋商文件的要求制作，签署、盖章。</w:t>
      </w:r>
    </w:p>
    <w:p w14:paraId="0EA02FDC">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18.9响应文件统一用A4幅面纸印制，除另有规定外。</w:t>
      </w:r>
    </w:p>
    <w:p w14:paraId="2615270B">
      <w:pPr>
        <w:tabs>
          <w:tab w:val="left" w:pos="1080"/>
        </w:tabs>
        <w:spacing w:line="360" w:lineRule="auto"/>
        <w:ind w:firstLine="361" w:firstLineChars="150"/>
        <w:jc w:val="left"/>
        <w:rPr>
          <w:rFonts w:hint="eastAsia" w:ascii="宋体" w:hAnsi="宋体" w:cs="宋体"/>
          <w:b/>
          <w:color w:val="auto"/>
          <w:sz w:val="24"/>
          <w:highlight w:val="none"/>
        </w:rPr>
      </w:pPr>
      <w:r>
        <w:rPr>
          <w:rFonts w:hint="eastAsia" w:ascii="宋体" w:hAnsi="宋体" w:cs="宋体"/>
          <w:b/>
          <w:color w:val="auto"/>
          <w:sz w:val="24"/>
          <w:highlight w:val="none"/>
        </w:rPr>
        <w:t>19.响应文件的密封和标注（实质性要求）</w:t>
      </w:r>
    </w:p>
    <w:p w14:paraId="4A99F206">
      <w:pPr>
        <w:tabs>
          <w:tab w:val="left" w:pos="1080"/>
        </w:tabs>
        <w:spacing w:line="360" w:lineRule="auto"/>
        <w:ind w:firstLine="360" w:firstLineChars="150"/>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19.1供应商应分包件编制响应文件。</w:t>
      </w:r>
    </w:p>
    <w:p w14:paraId="3794D359">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19.</w:t>
      </w:r>
      <w:r>
        <w:rPr>
          <w:rFonts w:hint="eastAsia" w:ascii="宋体" w:hAnsi="宋体" w:cs="宋体"/>
          <w:color w:val="auto"/>
          <w:sz w:val="24"/>
          <w:highlight w:val="none"/>
          <w:lang w:val="en-US" w:eastAsia="zh-CN"/>
        </w:rPr>
        <w:t>2不同包件的响应文件分别密封包装，同一个包件的</w:t>
      </w:r>
      <w:r>
        <w:rPr>
          <w:rFonts w:hint="eastAsia" w:ascii="宋体" w:hAnsi="宋体" w:cs="宋体"/>
          <w:color w:val="auto"/>
          <w:sz w:val="24"/>
          <w:highlight w:val="none"/>
        </w:rPr>
        <w:t>所有响应文件密封包装在一个密封袋内，电子文档</w:t>
      </w:r>
      <w:r>
        <w:rPr>
          <w:rFonts w:hint="eastAsia" w:ascii="宋体" w:hAnsi="宋体" w:cs="宋体"/>
          <w:color w:val="auto"/>
          <w:sz w:val="24"/>
          <w:highlight w:val="none"/>
          <w:lang w:val="en-US" w:eastAsia="zh-CN"/>
        </w:rPr>
        <w:t>可不区别包件，但须</w:t>
      </w:r>
      <w:r>
        <w:rPr>
          <w:rFonts w:hint="eastAsia" w:ascii="宋体" w:hAnsi="宋体" w:cs="宋体"/>
          <w:color w:val="auto"/>
          <w:sz w:val="24"/>
          <w:highlight w:val="none"/>
        </w:rPr>
        <w:t>单独密封。</w:t>
      </w:r>
    </w:p>
    <w:p w14:paraId="4B5D154A">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19.</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响应文件及电子文档密封袋的最外层应清楚地标明响应文件/电子文档、采购项目名称、项目编号、包件号及名称（若有）、供应商名称并加盖供应商公章。</w:t>
      </w:r>
    </w:p>
    <w:p w14:paraId="037297C1">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19.</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所有外层密封袋的封口处应粘贴牢固。</w:t>
      </w:r>
    </w:p>
    <w:p w14:paraId="4C41AB9C">
      <w:pPr>
        <w:tabs>
          <w:tab w:val="left" w:pos="1080"/>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19.</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未按以上要求进行密封和标注的响应文件，采购人、采购代理机构将拒收或者在时间允许的范围内，要求修改完善后接收。</w:t>
      </w:r>
    </w:p>
    <w:p w14:paraId="2B81CA94">
      <w:pPr>
        <w:tabs>
          <w:tab w:val="left" w:pos="1080"/>
        </w:tabs>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20.响应文件的递交</w:t>
      </w:r>
    </w:p>
    <w:p w14:paraId="30C352D5">
      <w:pPr>
        <w:tabs>
          <w:tab w:val="left" w:pos="1080"/>
        </w:tabs>
        <w:spacing w:line="360" w:lineRule="auto"/>
        <w:ind w:firstLine="460" w:firstLineChars="192"/>
        <w:rPr>
          <w:rFonts w:ascii="宋体"/>
          <w:color w:val="auto"/>
          <w:sz w:val="24"/>
          <w:highlight w:val="none"/>
        </w:rPr>
      </w:pPr>
      <w:r>
        <w:rPr>
          <w:rFonts w:hint="eastAsia" w:ascii="宋体"/>
          <w:color w:val="auto"/>
          <w:sz w:val="24"/>
          <w:highlight w:val="none"/>
        </w:rPr>
        <w:t>20.1</w:t>
      </w:r>
      <w:r>
        <w:rPr>
          <w:rFonts w:hint="eastAsia" w:ascii="宋体" w:hAnsi="宋体" w:cs="宋体"/>
          <w:b/>
          <w:bCs/>
          <w:color w:val="auto"/>
          <w:sz w:val="24"/>
          <w:highlight w:val="none"/>
          <w:lang w:val="zh-CN"/>
        </w:rPr>
        <w:t>响应文件（正、副本密封在一起），“最终报价表”是通过磋商后再提交，</w:t>
      </w:r>
      <w:r>
        <w:rPr>
          <w:rFonts w:hint="eastAsia" w:ascii="宋体"/>
          <w:color w:val="auto"/>
          <w:sz w:val="24"/>
          <w:highlight w:val="none"/>
          <w:lang w:val="zh-CN"/>
        </w:rPr>
        <w:t>所有文件</w:t>
      </w:r>
      <w:r>
        <w:rPr>
          <w:rFonts w:hint="eastAsia" w:ascii="宋体"/>
          <w:color w:val="auto"/>
          <w:sz w:val="24"/>
          <w:highlight w:val="none"/>
        </w:rPr>
        <w:t>应于递交响应文件截止时间前送达指定地点，采购</w:t>
      </w:r>
      <w:r>
        <w:rPr>
          <w:rFonts w:hint="eastAsia" w:ascii="宋体"/>
          <w:color w:val="auto"/>
          <w:sz w:val="24"/>
          <w:highlight w:val="none"/>
          <w:lang w:val="en-US" w:eastAsia="zh-CN"/>
        </w:rPr>
        <w:t>人</w:t>
      </w:r>
      <w:r>
        <w:rPr>
          <w:rFonts w:hint="eastAsia" w:ascii="宋体"/>
          <w:color w:val="auto"/>
          <w:sz w:val="24"/>
          <w:highlight w:val="none"/>
        </w:rPr>
        <w:t>拒绝接收截止时间后送达的响应文件。</w:t>
      </w:r>
    </w:p>
    <w:p w14:paraId="397CF3BB">
      <w:pPr>
        <w:tabs>
          <w:tab w:val="left" w:pos="1080"/>
        </w:tabs>
        <w:spacing w:line="360" w:lineRule="auto"/>
        <w:ind w:firstLine="460" w:firstLineChars="192"/>
        <w:rPr>
          <w:rFonts w:ascii="宋体"/>
          <w:color w:val="auto"/>
          <w:sz w:val="24"/>
          <w:highlight w:val="red"/>
        </w:rPr>
      </w:pPr>
      <w:r>
        <w:rPr>
          <w:rFonts w:hint="eastAsia" w:ascii="宋体"/>
          <w:color w:val="auto"/>
          <w:sz w:val="24"/>
          <w:highlight w:val="none"/>
        </w:rPr>
        <w:t>20.2采购人将对所有递交响应文件的供应商进行资格审查，通过资格审查的供应商进入后续磋商环节，并向未通过资格审查的供应商告知未通过原因。</w:t>
      </w:r>
    </w:p>
    <w:p w14:paraId="593D21BA">
      <w:pPr>
        <w:tabs>
          <w:tab w:val="left" w:pos="1080"/>
        </w:tabs>
        <w:spacing w:line="360" w:lineRule="auto"/>
        <w:ind w:firstLine="460" w:firstLineChars="192"/>
        <w:rPr>
          <w:rFonts w:ascii="宋体"/>
          <w:color w:val="auto"/>
          <w:sz w:val="24"/>
          <w:highlight w:val="none"/>
        </w:rPr>
      </w:pPr>
      <w:r>
        <w:rPr>
          <w:rFonts w:hint="eastAsia" w:ascii="宋体"/>
          <w:color w:val="auto"/>
          <w:sz w:val="24"/>
          <w:highlight w:val="none"/>
        </w:rPr>
        <w:t>20.3最终报价表在磋商后，磋商小组要求供应商进行最后报价时递交。</w:t>
      </w:r>
    </w:p>
    <w:p w14:paraId="3404AF54">
      <w:pPr>
        <w:tabs>
          <w:tab w:val="left" w:pos="1080"/>
        </w:tabs>
        <w:spacing w:line="360" w:lineRule="auto"/>
        <w:ind w:firstLine="480" w:firstLineChars="200"/>
        <w:jc w:val="left"/>
        <w:rPr>
          <w:rFonts w:hint="eastAsia" w:ascii="宋体"/>
          <w:color w:val="auto"/>
          <w:sz w:val="24"/>
          <w:highlight w:val="none"/>
        </w:rPr>
      </w:pPr>
      <w:r>
        <w:rPr>
          <w:rFonts w:hint="eastAsia" w:ascii="宋体"/>
          <w:color w:val="auto"/>
          <w:sz w:val="24"/>
          <w:highlight w:val="none"/>
        </w:rPr>
        <w:t>20.4本次采购不接收邮寄的响应文件。</w:t>
      </w:r>
    </w:p>
    <w:p w14:paraId="04C7DB30">
      <w:pPr>
        <w:tabs>
          <w:tab w:val="left" w:pos="1080"/>
        </w:tabs>
        <w:spacing w:line="360" w:lineRule="auto"/>
        <w:ind w:firstLine="361" w:firstLineChars="150"/>
        <w:jc w:val="left"/>
        <w:rPr>
          <w:rFonts w:hint="eastAsia" w:ascii="宋体" w:hAnsi="宋体" w:cs="宋体"/>
          <w:b/>
          <w:bCs/>
          <w:color w:val="auto"/>
          <w:sz w:val="24"/>
          <w:highlight w:val="none"/>
        </w:rPr>
      </w:pPr>
      <w:r>
        <w:rPr>
          <w:rFonts w:hint="eastAsia" w:ascii="宋体" w:hAnsi="宋体" w:cs="宋体"/>
          <w:b/>
          <w:bCs/>
          <w:color w:val="auto"/>
          <w:sz w:val="24"/>
          <w:highlight w:val="none"/>
        </w:rPr>
        <w:t>21.</w:t>
      </w:r>
      <w:r>
        <w:rPr>
          <w:rFonts w:hint="eastAsia" w:ascii="宋体" w:hAnsi="宋体" w:cs="宋体"/>
          <w:b/>
          <w:color w:val="auto"/>
          <w:sz w:val="24"/>
          <w:highlight w:val="none"/>
        </w:rPr>
        <w:t>响应文件的修改和撤回（补充、修改响应文件的密封和标注按照本章“19.响应文件的密封和标注”规定处理）</w:t>
      </w:r>
    </w:p>
    <w:p w14:paraId="5EB7F002">
      <w:pPr>
        <w:pStyle w:val="7"/>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21.1供应商在提交响应文件后可对其响应文件进行修改或撤回，但该修改或撤回的书面通知须在递交截止时间之前送达采购</w:t>
      </w:r>
      <w:r>
        <w:rPr>
          <w:rFonts w:hint="eastAsia" w:ascii="宋体" w:hAnsi="宋体" w:cs="宋体"/>
          <w:color w:val="auto"/>
          <w:sz w:val="24"/>
          <w:highlight w:val="none"/>
          <w:lang w:val="en-US" w:eastAsia="zh-CN"/>
        </w:rPr>
        <w:t>人</w:t>
      </w:r>
      <w:r>
        <w:rPr>
          <w:rFonts w:hint="eastAsia" w:ascii="宋体" w:hAnsi="宋体" w:cs="宋体"/>
          <w:color w:val="auto"/>
          <w:sz w:val="24"/>
          <w:highlight w:val="none"/>
        </w:rPr>
        <w:t>，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14:paraId="4E4F672C">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21.2供应商对响应文件修改的书面材料或撤回的通知应该按规定进行编写、密封、标注和递送，并注明“修改响应文件”字样。</w:t>
      </w:r>
    </w:p>
    <w:p w14:paraId="0BF273C9">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21.3供应商不得在递交截止时间起至响应文件有效期期满前撤销其响应文件。否则其磋商保证金将按磋商文件要求的相关规定被没收(如有)。</w:t>
      </w:r>
    </w:p>
    <w:p w14:paraId="7AD0FB09">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21.4响应文件中报价如果出现下列不一致的，可按以下原则进行修改：</w:t>
      </w:r>
    </w:p>
    <w:p w14:paraId="4F5509CA">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（一）</w:t>
      </w:r>
      <w:r>
        <w:rPr>
          <w:rFonts w:hint="eastAsia" w:ascii="宋体" w:hAnsi="宋体" w:cs="宋体"/>
          <w:color w:val="auto"/>
          <w:kern w:val="0"/>
          <w:sz w:val="24"/>
          <w:highlight w:val="none"/>
        </w:rPr>
        <w:t>大写金额和小写金额不一致的，以大写金额为准</w:t>
      </w:r>
      <w:r>
        <w:rPr>
          <w:rFonts w:hint="eastAsia" w:ascii="宋体" w:hAnsi="宋体" w:cs="宋体"/>
          <w:color w:val="auto"/>
          <w:sz w:val="24"/>
          <w:highlight w:val="none"/>
        </w:rPr>
        <w:t>，但大写金额文字存在错误的，应当先对大写金额的文字错误进行澄清、说明或者更正，再行修正。</w:t>
      </w:r>
    </w:p>
    <w:p w14:paraId="2F132A88">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2ACB3025">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（三）单价金额小数点或者百分比有明显错位的，以总价为准，修正单价。</w:t>
      </w:r>
    </w:p>
    <w:p w14:paraId="37AF6C29">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C25D15A">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21.5供应商对其提交的响应文件的真实性、合法性承担法律责任。</w:t>
      </w:r>
      <w:bookmarkEnd w:id="29"/>
      <w:bookmarkEnd w:id="30"/>
      <w:bookmarkEnd w:id="31"/>
      <w:bookmarkStart w:id="32" w:name="_Toc24717"/>
      <w:bookmarkStart w:id="33" w:name="_Toc28979"/>
    </w:p>
    <w:p w14:paraId="40B435F3">
      <w:pPr>
        <w:pStyle w:val="11"/>
        <w:rPr>
          <w:rFonts w:hint="eastAsia"/>
          <w:color w:val="auto"/>
          <w:highlight w:val="none"/>
        </w:rPr>
      </w:pPr>
    </w:p>
    <w:p w14:paraId="6BB26DC2">
      <w:pPr>
        <w:adjustRightInd w:val="0"/>
        <w:snapToGrid w:val="0"/>
        <w:spacing w:line="360" w:lineRule="auto"/>
        <w:ind w:firstLine="361" w:firstLineChars="150"/>
        <w:jc w:val="center"/>
        <w:rPr>
          <w:rFonts w:hint="eastAsia" w:ascii="宋体" w:hAnsi="宋体" w:cs="宋体"/>
          <w:b/>
          <w:color w:val="auto"/>
          <w:sz w:val="24"/>
          <w:highlight w:val="none"/>
        </w:rPr>
      </w:pPr>
      <w:r>
        <w:rPr>
          <w:rFonts w:hint="eastAsia" w:ascii="宋体" w:hAnsi="宋体" w:cs="宋体"/>
          <w:b/>
          <w:color w:val="auto"/>
          <w:sz w:val="24"/>
          <w:highlight w:val="none"/>
        </w:rPr>
        <w:t>五、评审</w:t>
      </w:r>
      <w:bookmarkEnd w:id="32"/>
      <w:bookmarkEnd w:id="33"/>
    </w:p>
    <w:p w14:paraId="503D425D">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22.磋商小组的组建及其评审工作按照有关法律制度和本文件第九章的规定进行。</w:t>
      </w:r>
    </w:p>
    <w:p w14:paraId="3DDE9C81">
      <w:pPr>
        <w:pStyle w:val="11"/>
        <w:rPr>
          <w:rFonts w:hint="eastAsia"/>
          <w:color w:val="auto"/>
          <w:highlight w:val="none"/>
        </w:rPr>
      </w:pPr>
    </w:p>
    <w:p w14:paraId="3CA851AE">
      <w:pPr>
        <w:adjustRightInd w:val="0"/>
        <w:snapToGrid w:val="0"/>
        <w:spacing w:line="360" w:lineRule="auto"/>
        <w:ind w:firstLine="361" w:firstLineChars="150"/>
        <w:jc w:val="center"/>
        <w:rPr>
          <w:rFonts w:hint="eastAsia" w:ascii="宋体" w:hAnsi="宋体" w:cs="宋体"/>
          <w:b/>
          <w:color w:val="auto"/>
          <w:sz w:val="24"/>
          <w:highlight w:val="none"/>
        </w:rPr>
      </w:pPr>
      <w:bookmarkStart w:id="34" w:name="_Toc9119"/>
      <w:bookmarkStart w:id="35" w:name="_Toc18693"/>
      <w:r>
        <w:rPr>
          <w:rFonts w:hint="eastAsia" w:ascii="宋体" w:hAnsi="宋体" w:cs="宋体"/>
          <w:b/>
          <w:color w:val="auto"/>
          <w:sz w:val="24"/>
          <w:highlight w:val="none"/>
        </w:rPr>
        <w:t>六、成交事项</w:t>
      </w:r>
      <w:bookmarkEnd w:id="34"/>
      <w:bookmarkEnd w:id="35"/>
    </w:p>
    <w:p w14:paraId="30F83F38">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23.确定成交供应商</w:t>
      </w:r>
    </w:p>
    <w:p w14:paraId="3F8A52E4">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采购人将按磋商小组推荐的成交候选供应商顺序确定成交供应商。</w:t>
      </w:r>
    </w:p>
    <w:p w14:paraId="037BBDF8">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23.1采购代理机构自评审结束后2个工作日内将磋商报告及有关资料送交采购人确定成交供应商。</w:t>
      </w:r>
    </w:p>
    <w:p w14:paraId="4B1F88FF">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23.2采购人收到磋商报告及有关资料后，将在5个工作日内按照磋商报告中推荐的成交候选供应商顺序确定成交供应商。成交候选供应商并列的，采购人自主采取公平、择优的方式选择成交供应商。采购人逾期未确定成交供应商且不提出异议的，视为确定磋商报告提出的排序第一的供应商为成交供应商。</w:t>
      </w:r>
    </w:p>
    <w:p w14:paraId="1C255EB1">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23.3采购人确定成交供应商过程中，发现成交候选供应商有下列情形之一的，应当不予确定其为成交供应商：</w:t>
      </w:r>
    </w:p>
    <w:p w14:paraId="11971E47">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(1)发现成交候选供应商存在禁止参加本项目采购活动的违法行为的；</w:t>
      </w:r>
    </w:p>
    <w:p w14:paraId="6887EB2B">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(2)成交候选供应商因不可抗力，不能继续参加政府采购活动；</w:t>
      </w:r>
    </w:p>
    <w:p w14:paraId="3336056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(3)成交候选供应商无偿赠与或者低于成本价竞争；</w:t>
      </w:r>
    </w:p>
    <w:p w14:paraId="3C77A50B">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(4)成交候选供应商提供虚假材料；</w:t>
      </w:r>
    </w:p>
    <w:p w14:paraId="047FBD74">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(5)成交候选供应商恶意串通。</w:t>
      </w:r>
    </w:p>
    <w:p w14:paraId="4F42CDB9">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成交候选供应商有本条情形之一的，采购人可以确定后一位成交候选供应商为成交供应商，依次类推。无法确定成交供应商的，应当重新组织采购。</w:t>
      </w:r>
    </w:p>
    <w:p w14:paraId="27A6B006">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24.成交结果</w:t>
      </w:r>
    </w:p>
    <w:p w14:paraId="77CE323A">
      <w:pPr>
        <w:adjustRightInd w:val="0"/>
        <w:snapToGrid w:val="0"/>
        <w:spacing w:line="360" w:lineRule="auto"/>
        <w:ind w:firstLine="360" w:firstLineChars="15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24.1</w:t>
      </w:r>
      <w:r>
        <w:rPr>
          <w:rFonts w:hint="eastAsia" w:ascii="宋体" w:hAnsi="宋体" w:cs="宋体"/>
          <w:color w:val="auto"/>
          <w:sz w:val="24"/>
          <w:highlight w:val="none"/>
          <w:lang w:val="en-US" w:eastAsia="zh-CN"/>
        </w:rPr>
        <w:t>采购人按照磋商小组推荐的成交候选供应商排序，依法确定本项目成交供应商。</w:t>
      </w:r>
    </w:p>
    <w:p w14:paraId="4EB265BE">
      <w:pPr>
        <w:adjustRightInd w:val="0"/>
        <w:snapToGrid w:val="0"/>
        <w:spacing w:line="360" w:lineRule="auto"/>
        <w:jc w:val="left"/>
        <w:rPr>
          <w:rFonts w:hint="eastAsia" w:ascii="宋体" w:hAnsi="宋体" w:eastAsia="宋体" w:cs="宋体"/>
          <w:color w:val="auto"/>
          <w:sz w:val="24"/>
          <w:highlight w:val="red"/>
          <w:lang w:val="en-US" w:eastAsia="zh-CN"/>
        </w:rPr>
      </w:pPr>
      <w:r>
        <w:rPr>
          <w:rFonts w:hint="eastAsia" w:ascii="宋体" w:hAnsi="宋体" w:cs="宋体"/>
          <w:color w:val="auto"/>
          <w:sz w:val="24"/>
          <w:highlight w:val="none"/>
          <w:lang w:val="en-US" w:eastAsia="zh-CN"/>
        </w:rPr>
        <w:t>成交供应商确定后，采购人将在 2 个工作日内，在四川信息职业技术学院—通知公告栏发布成交结果公告。</w:t>
      </w:r>
    </w:p>
    <w:p w14:paraId="5B60B866">
      <w:pPr>
        <w:adjustRightInd w:val="0"/>
        <w:snapToGrid w:val="0"/>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24.2成交供应商应当及时领取成交通知书。</w:t>
      </w:r>
    </w:p>
    <w:p w14:paraId="39278175">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25.成交通知书</w:t>
      </w:r>
    </w:p>
    <w:p w14:paraId="2B2DF57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25.1成交通知书为签订政府采购合同的依据之一，是合同的有效组成部分。</w:t>
      </w:r>
    </w:p>
    <w:p w14:paraId="7188B678">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25.2成交通知书对采购人和成交供应商均具有法律效力。成交通知书发出后，采购人无正当理由改变成交结果，或者成交供应商无正当理由放弃成交的，将承担相应的法律责任。</w:t>
      </w:r>
    </w:p>
    <w:p w14:paraId="2E46F769">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25.3成交供应商的响应文件作为无效响应文件处理或者有政府采购法律法规规章制度规定的成交无效情形的，采购人/采购代理机构在取得有权主体的认定以后，有权宣布发出的成交通知书无效，并收回发出的成交通知书，依法重新确定成交供应商或者重新开展采购活动。</w:t>
      </w:r>
    </w:p>
    <w:p w14:paraId="1CE2A4A9">
      <w:pPr>
        <w:pStyle w:val="11"/>
        <w:rPr>
          <w:rFonts w:hint="eastAsia"/>
          <w:color w:val="auto"/>
          <w:highlight w:val="none"/>
        </w:rPr>
      </w:pPr>
    </w:p>
    <w:p w14:paraId="617AAC38">
      <w:pPr>
        <w:adjustRightInd w:val="0"/>
        <w:snapToGrid w:val="0"/>
        <w:spacing w:line="360" w:lineRule="auto"/>
        <w:ind w:firstLine="361" w:firstLineChars="150"/>
        <w:jc w:val="center"/>
        <w:rPr>
          <w:rFonts w:hint="eastAsia" w:ascii="宋体" w:hAnsi="宋体" w:cs="宋体"/>
          <w:b/>
          <w:color w:val="auto"/>
          <w:sz w:val="24"/>
          <w:highlight w:val="none"/>
        </w:rPr>
      </w:pPr>
      <w:bookmarkStart w:id="36" w:name="_Toc3832"/>
      <w:bookmarkStart w:id="37" w:name="_Toc9795"/>
      <w:r>
        <w:rPr>
          <w:rFonts w:hint="eastAsia" w:ascii="宋体" w:hAnsi="宋体" w:cs="宋体"/>
          <w:b/>
          <w:color w:val="auto"/>
          <w:sz w:val="24"/>
          <w:highlight w:val="none"/>
        </w:rPr>
        <w:t>七、合同事项</w:t>
      </w:r>
      <w:bookmarkEnd w:id="36"/>
      <w:bookmarkEnd w:id="37"/>
    </w:p>
    <w:p w14:paraId="59A13707">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26.签订合同</w:t>
      </w:r>
    </w:p>
    <w:p w14:paraId="7BF23E34">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26.1成交供应商应在成交通知书发出之日</w:t>
      </w:r>
      <w:r>
        <w:rPr>
          <w:rFonts w:hint="eastAsia" w:ascii="宋体" w:hAnsi="宋体" w:cs="宋体"/>
          <w:color w:val="auto"/>
          <w:sz w:val="24"/>
          <w:highlight w:val="none"/>
          <w:lang w:val="en-US" w:eastAsia="zh-CN"/>
        </w:rPr>
        <w:t>起三十个工作</w:t>
      </w:r>
      <w:r>
        <w:rPr>
          <w:rFonts w:hint="eastAsia" w:ascii="宋体" w:hAnsi="宋体" w:cs="宋体"/>
          <w:color w:val="auto"/>
          <w:sz w:val="24"/>
          <w:highlight w:val="none"/>
        </w:rPr>
        <w:t>日内与采购人签订采购合同。由于成交供应商的原因逾期未与采购人签订采购合同的，将视为放弃成交，取消其成交资格并将按相关规定进行处理。</w:t>
      </w:r>
    </w:p>
    <w:p w14:paraId="4D665EB0">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26.2磋商文件、成交供应商的响应文件及双方确认的澄清文件等，均为有法律约束力的合同组成部分。</w:t>
      </w:r>
    </w:p>
    <w:p w14:paraId="598215E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26.3采购人不得向成交供应商提出任何不合理的要求，作为签订合同的条件，不得与成交供应商私下订立背离合同实质性内容的任何协议，所签订的合同不得对磋商文件和成交供应商响应文件确定的事项进行修改。</w:t>
      </w:r>
    </w:p>
    <w:p w14:paraId="5AA682F2">
      <w:pPr>
        <w:adjustRightInd w:val="0"/>
        <w:snapToGrid w:val="0"/>
        <w:spacing w:line="360" w:lineRule="auto"/>
        <w:ind w:firstLine="360" w:firstLineChars="150"/>
        <w:jc w:val="left"/>
        <w:rPr>
          <w:rFonts w:hint="eastAsia" w:ascii="宋体" w:hAnsi="宋体" w:cs="宋体"/>
          <w:color w:val="auto"/>
          <w:sz w:val="24"/>
          <w:highlight w:val="yellow"/>
        </w:rPr>
      </w:pPr>
      <w:r>
        <w:rPr>
          <w:rFonts w:hint="eastAsia" w:ascii="宋体" w:hAnsi="宋体" w:cs="宋体"/>
          <w:color w:val="auto"/>
          <w:sz w:val="24"/>
          <w:highlight w:val="none"/>
        </w:rPr>
        <w:t>26.4成交供应商因不可抗力原因不能履行采购合同或放弃成交的，采购人可以与排在成交供应商之后第一位的成交候选人签订采购合同，以此类推。</w:t>
      </w:r>
    </w:p>
    <w:p w14:paraId="33C7D3BE">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26.5竞争性磋商文件、成交供应商提交的响应文件、磋商中的最后报价、成交供应商承诺书、成交通知书等均称为有法律约束力的合同组成内容。</w:t>
      </w:r>
    </w:p>
    <w:p w14:paraId="7630EE83">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27.合同分包</w:t>
      </w:r>
    </w:p>
    <w:p w14:paraId="399DAD48">
      <w:pPr>
        <w:adjustRightInd w:val="0"/>
        <w:snapToGrid w:val="0"/>
        <w:spacing w:line="360"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27.1本项目合同接受分包与否，以“供应商须知附表”勾选项为准。</w:t>
      </w:r>
    </w:p>
    <w:p w14:paraId="41D01499">
      <w:pPr>
        <w:adjustRightInd w:val="0"/>
        <w:snapToGrid w:val="0"/>
        <w:spacing w:line="360"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27.2 采购合同实行分包履行的，成交供应商就采购项目和分包项目向采购人负责，分包供应商就分包项目承担责任。履行分包项目事项应当具备法定资质规定要求的，分包供应商应当具备相应资质。</w:t>
      </w:r>
    </w:p>
    <w:p w14:paraId="662ED795">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27.3中小企业依据《政府采购促进中小企业发展管理办法》（财库[2020]46号）规定的政策获取政府采购合同后，小型、微型企业不得分包或转包给大型、中型企业，中型企业不得分包或转包给大型企业。</w:t>
      </w:r>
    </w:p>
    <w:p w14:paraId="12B51C42">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28.合同转包</w:t>
      </w:r>
    </w:p>
    <w:p w14:paraId="62EB110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387E72BF">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成交供应商转包的，视同拒绝履行政府采购合同义务，将依法追究法律责任。</w:t>
      </w:r>
    </w:p>
    <w:p w14:paraId="145BDB08">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29.补充合同</w:t>
      </w:r>
    </w:p>
    <w:p w14:paraId="335A68F3">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w:t>
      </w:r>
      <w:r>
        <w:rPr>
          <w:rFonts w:hint="eastAsia" w:ascii="宋体" w:hAnsi="宋体" w:cs="宋体"/>
          <w:color w:val="auto"/>
          <w:sz w:val="24"/>
          <w:highlight w:val="none"/>
          <w:u w:val="single"/>
        </w:rPr>
        <w:t>10%</w:t>
      </w:r>
      <w:r>
        <w:rPr>
          <w:rFonts w:hint="eastAsia" w:ascii="宋体" w:hAnsi="宋体" w:cs="宋体"/>
          <w:color w:val="auto"/>
          <w:sz w:val="24"/>
          <w:highlight w:val="none"/>
        </w:rPr>
        <w:t>，该补充合同应当在原政府采购合同履行过程中，不得在原政府采购合同履行结束后，且采购货物、工程和服务的名称、价格、履约方式、验收标准等必须与原政府采购合同一致。</w:t>
      </w:r>
    </w:p>
    <w:p w14:paraId="7E634CEE">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30.履约保证金（实质性要求）</w:t>
      </w:r>
    </w:p>
    <w:p w14:paraId="426F5497">
      <w:pPr>
        <w:adjustRightInd w:val="0"/>
        <w:snapToGrid w:val="0"/>
        <w:spacing w:line="360" w:lineRule="auto"/>
        <w:ind w:firstLine="360" w:firstLineChars="150"/>
        <w:jc w:val="left"/>
        <w:rPr>
          <w:rFonts w:hint="eastAsia" w:hAnsi="宋体"/>
          <w:color w:val="000000"/>
          <w:sz w:val="24"/>
          <w:highlight w:val="none"/>
        </w:rPr>
      </w:pPr>
      <w:r>
        <w:rPr>
          <w:rFonts w:hint="eastAsia" w:hAnsi="宋体"/>
          <w:color w:val="000000"/>
          <w:sz w:val="24"/>
          <w:highlight w:val="none"/>
          <w:lang w:val="en-US" w:eastAsia="zh-CN"/>
        </w:rPr>
        <w:t>30</w:t>
      </w:r>
      <w:r>
        <w:rPr>
          <w:rFonts w:hint="eastAsia" w:hAnsi="宋体"/>
          <w:color w:val="000000"/>
          <w:sz w:val="24"/>
          <w:highlight w:val="none"/>
        </w:rPr>
        <w:t>.1成交供应商应在合同签订之前交纳采购文件规定数额的履约保证金。具体详见采购文件第二章“</w:t>
      </w:r>
      <w:r>
        <w:rPr>
          <w:rFonts w:hint="eastAsia" w:ascii="宋体" w:hAnsi="宋体"/>
          <w:sz w:val="24"/>
          <w:highlight w:val="none"/>
        </w:rPr>
        <w:t>供应商须知附表</w:t>
      </w:r>
      <w:r>
        <w:rPr>
          <w:rFonts w:hint="eastAsia" w:hAnsi="宋体"/>
          <w:color w:val="000000"/>
          <w:sz w:val="24"/>
          <w:highlight w:val="none"/>
        </w:rPr>
        <w:t>”的相关条款。</w:t>
      </w:r>
    </w:p>
    <w:p w14:paraId="110427A4">
      <w:pPr>
        <w:adjustRightInd w:val="0"/>
        <w:snapToGrid w:val="0"/>
        <w:spacing w:line="360" w:lineRule="auto"/>
        <w:ind w:firstLine="360" w:firstLineChars="150"/>
        <w:jc w:val="left"/>
        <w:rPr>
          <w:rFonts w:hint="eastAsia"/>
          <w:highlight w:val="none"/>
        </w:rPr>
      </w:pPr>
      <w:r>
        <w:rPr>
          <w:rFonts w:hint="eastAsia" w:hAnsi="宋体"/>
          <w:color w:val="000000"/>
          <w:sz w:val="24"/>
          <w:highlight w:val="none"/>
          <w:lang w:val="en-US" w:eastAsia="zh-CN"/>
        </w:rPr>
        <w:t>30</w:t>
      </w:r>
      <w:r>
        <w:rPr>
          <w:rFonts w:hint="eastAsia" w:hAnsi="宋体"/>
          <w:color w:val="000000"/>
          <w:sz w:val="24"/>
          <w:highlight w:val="none"/>
        </w:rPr>
        <w:t>.2如果成交供应商在规定的合同签订时间内，没有按照采购文件的规定交纳履约保证金，且又无正当理由的，将视为放弃成交。</w:t>
      </w:r>
    </w:p>
    <w:p w14:paraId="3EE29FB3">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31.合同公告</w:t>
      </w:r>
    </w:p>
    <w:p w14:paraId="4AB1F7E1">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本项目不公告合同。</w:t>
      </w:r>
    </w:p>
    <w:p w14:paraId="68AA2AAA">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32.履行合同</w:t>
      </w:r>
    </w:p>
    <w:p w14:paraId="664AB2FE">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.1成交供应商与采购人签订合同后，合同双方应严格执行合同条款，履行合同规定的义务，保证合同的顺利完成。</w:t>
      </w:r>
    </w:p>
    <w:p w14:paraId="7A192C4A">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.2在合同履行过程中，如发生合同纠纷，合同双方应按照《中华人民共和国民法典》的有关规定进行处理。</w:t>
      </w:r>
    </w:p>
    <w:p w14:paraId="28DE4E20">
      <w:pPr>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33.验收</w:t>
      </w:r>
    </w:p>
    <w:p w14:paraId="5165CDB0">
      <w:pPr>
        <w:adjustRightInd w:val="0"/>
        <w:snapToGrid w:val="0"/>
        <w:spacing w:line="360"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.1采购人或者采购代理机构应当按照政府采购合同规定的技术、服务、安全标准组织对供应商履约情况进行验收，并出具验收书。验收书应当包括每一项技术、服务、安全标准的履约情况。</w:t>
      </w:r>
    </w:p>
    <w:p w14:paraId="46D628E1">
      <w:pPr>
        <w:adjustRightInd w:val="0"/>
        <w:snapToGrid w:val="0"/>
        <w:spacing w:line="360" w:lineRule="auto"/>
        <w:ind w:firstLine="361" w:firstLineChars="150"/>
        <w:jc w:val="left"/>
        <w:rPr>
          <w:rFonts w:hint="eastAsia" w:ascii="宋体" w:hAnsi="宋体" w:cs="宋体"/>
          <w:b/>
          <w:color w:val="auto"/>
          <w:sz w:val="24"/>
          <w:highlight w:val="none"/>
        </w:rPr>
      </w:pPr>
      <w:r>
        <w:rPr>
          <w:rFonts w:hint="eastAsia" w:ascii="宋体" w:hAnsi="宋体" w:cs="宋体"/>
          <w:b/>
          <w:color w:val="auto"/>
          <w:sz w:val="24"/>
          <w:highlight w:val="none"/>
        </w:rPr>
        <w:t>34.资金支付</w:t>
      </w:r>
      <w:bookmarkStart w:id="38" w:name="_Toc23501"/>
      <w:bookmarkStart w:id="39" w:name="_Toc32065"/>
    </w:p>
    <w:p w14:paraId="5750BA40">
      <w:pPr>
        <w:adjustRightInd w:val="0"/>
        <w:snapToGri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采购人将按照政府采购合同规定，及时向成交供应商支付采购资金。</w:t>
      </w:r>
    </w:p>
    <w:p w14:paraId="29345AC7">
      <w:pPr>
        <w:pStyle w:val="11"/>
        <w:rPr>
          <w:rFonts w:hint="eastAsia"/>
          <w:color w:val="auto"/>
          <w:highlight w:val="none"/>
        </w:rPr>
      </w:pPr>
    </w:p>
    <w:p w14:paraId="709A244D">
      <w:pPr>
        <w:adjustRightInd w:val="0"/>
        <w:snapToGrid w:val="0"/>
        <w:spacing w:line="360" w:lineRule="auto"/>
        <w:ind w:firstLine="361" w:firstLineChars="150"/>
        <w:jc w:val="center"/>
        <w:rPr>
          <w:rFonts w:hint="eastAsia" w:ascii="宋体" w:hAnsi="宋体" w:cs="宋体"/>
          <w:b/>
          <w:color w:val="auto"/>
          <w:sz w:val="24"/>
          <w:highlight w:val="none"/>
        </w:rPr>
      </w:pPr>
      <w:r>
        <w:rPr>
          <w:rFonts w:hint="eastAsia" w:ascii="宋体" w:hAnsi="宋体" w:cs="宋体"/>
          <w:b/>
          <w:color w:val="auto"/>
          <w:sz w:val="24"/>
          <w:highlight w:val="none"/>
        </w:rPr>
        <w:t>八、磋商纪律要求</w:t>
      </w:r>
      <w:bookmarkEnd w:id="38"/>
      <w:bookmarkEnd w:id="39"/>
    </w:p>
    <w:p w14:paraId="585DA389">
      <w:pPr>
        <w:tabs>
          <w:tab w:val="left" w:pos="851"/>
        </w:tabs>
        <w:adjustRightInd w:val="0"/>
        <w:snapToGrid w:val="0"/>
        <w:spacing w:line="360" w:lineRule="auto"/>
        <w:ind w:firstLine="361" w:firstLineChars="150"/>
        <w:jc w:val="left"/>
        <w:rPr>
          <w:rFonts w:hint="eastAsia" w:ascii="宋体" w:hAnsi="宋体" w:cs="宋体"/>
          <w:color w:val="auto"/>
          <w:sz w:val="24"/>
          <w:highlight w:val="none"/>
        </w:rPr>
      </w:pPr>
      <w:r>
        <w:rPr>
          <w:rFonts w:hint="eastAsia" w:ascii="宋体" w:hAnsi="宋体" w:cs="宋体"/>
          <w:b/>
          <w:color w:val="auto"/>
          <w:sz w:val="24"/>
          <w:highlight w:val="none"/>
        </w:rPr>
        <w:t>35.供应商不得具有的情形</w:t>
      </w:r>
    </w:p>
    <w:p w14:paraId="441EBA80">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供应商参加本项目磋商不得有下列情形：</w:t>
      </w:r>
    </w:p>
    <w:p w14:paraId="1B07B9AB">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(1)提供虚假材料谋取成交；</w:t>
      </w:r>
    </w:p>
    <w:p w14:paraId="1095E744">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(2)采取不正当手段诋毁、排挤其他供应商；</w:t>
      </w:r>
    </w:p>
    <w:p w14:paraId="5F991E03">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(3)与采购人、采购代理机构、或其他供应商恶意串通；</w:t>
      </w:r>
    </w:p>
    <w:p w14:paraId="0144601B">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(4)向采购人、采购代理机构、磋商小组成员行贿或者提供其他不正当利益；</w:t>
      </w:r>
    </w:p>
    <w:p w14:paraId="595E0B8F">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(5)在磋商过程中与采购人、采购代理机构进行协商；</w:t>
      </w:r>
    </w:p>
    <w:p w14:paraId="61345C52">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(6)成交后无正当理由拒不与采购人签订政府采购合同；</w:t>
      </w:r>
    </w:p>
    <w:p w14:paraId="7C851E88">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(7)未按照磋商文件确定的事项签订政府采购合同；</w:t>
      </w:r>
    </w:p>
    <w:p w14:paraId="0A139124">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(8)将政府采购合同转包或者违规分包；</w:t>
      </w:r>
    </w:p>
    <w:p w14:paraId="2BB68C0E">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(9)提供假冒伪劣产品；</w:t>
      </w:r>
    </w:p>
    <w:p w14:paraId="5E679696">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(10)擅自变更、中止或者终止政府采购合同；</w:t>
      </w:r>
    </w:p>
    <w:p w14:paraId="0CA1FEB7">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(11)拒绝有关部门的监督检查或者向监督检查部门提供虚假情况；</w:t>
      </w:r>
    </w:p>
    <w:p w14:paraId="520C7D90">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(12)法律法规规定的其他情形。</w:t>
      </w:r>
    </w:p>
    <w:p w14:paraId="2EC829BA">
      <w:pPr>
        <w:keepNext w:val="0"/>
        <w:keepLines w:val="0"/>
        <w:pageBreakBefore w:val="0"/>
        <w:widowControl w:val="0"/>
        <w:tabs>
          <w:tab w:val="left" w:pos="851"/>
        </w:tabs>
        <w:kinsoku/>
        <w:wordWrap/>
        <w:overflowPunct/>
        <w:topLinePunct w:val="0"/>
        <w:autoSpaceDE/>
        <w:autoSpaceDN/>
        <w:bidi w:val="0"/>
        <w:adjustRightInd w:val="0"/>
        <w:snapToGrid w:val="0"/>
        <w:spacing w:line="360" w:lineRule="auto"/>
        <w:ind w:firstLine="360" w:firstLineChars="150"/>
        <w:jc w:val="left"/>
        <w:textAlignment w:val="auto"/>
        <w:rPr>
          <w:rFonts w:hint="eastAsia" w:ascii="宋体" w:hAnsi="宋体" w:cs="宋体"/>
          <w:color w:val="auto"/>
          <w:sz w:val="24"/>
          <w:highlight w:val="none"/>
        </w:rPr>
      </w:pPr>
      <w:r>
        <w:rPr>
          <w:rFonts w:hint="eastAsia" w:ascii="宋体" w:hAnsi="宋体" w:cs="宋体"/>
          <w:color w:val="auto"/>
          <w:sz w:val="24"/>
          <w:highlight w:val="none"/>
        </w:rPr>
        <w:t>供应商有上述情形的，按照规定追究法律责任，具备(1)-(10)条情形之一的，同时将取消被确认为成交供应商的资格或者认定成交无效。</w:t>
      </w:r>
    </w:p>
    <w:p w14:paraId="12250397">
      <w:pPr>
        <w:pStyle w:val="11"/>
        <w:rPr>
          <w:rFonts w:hint="eastAsia"/>
          <w:color w:val="auto"/>
          <w:highlight w:val="none"/>
        </w:rPr>
      </w:pPr>
    </w:p>
    <w:p w14:paraId="75A9A050">
      <w:pPr>
        <w:adjustRightInd w:val="0"/>
        <w:snapToGrid w:val="0"/>
        <w:spacing w:line="360" w:lineRule="auto"/>
        <w:ind w:firstLine="361" w:firstLineChars="150"/>
        <w:jc w:val="center"/>
        <w:rPr>
          <w:rFonts w:hint="eastAsia" w:ascii="宋体" w:hAnsi="宋体" w:cs="宋体"/>
          <w:b/>
          <w:color w:val="auto"/>
          <w:sz w:val="24"/>
          <w:highlight w:val="none"/>
        </w:rPr>
      </w:pPr>
      <w:bookmarkStart w:id="40" w:name="_Toc8513"/>
      <w:bookmarkStart w:id="41" w:name="_Toc30573"/>
      <w:r>
        <w:rPr>
          <w:rFonts w:hint="eastAsia" w:ascii="宋体" w:hAnsi="宋体" w:cs="宋体"/>
          <w:b/>
          <w:color w:val="auto"/>
          <w:sz w:val="24"/>
          <w:highlight w:val="none"/>
        </w:rPr>
        <w:t>九、询问、质疑和投诉</w:t>
      </w:r>
      <w:bookmarkEnd w:id="40"/>
      <w:bookmarkEnd w:id="41"/>
    </w:p>
    <w:p w14:paraId="20235CEC">
      <w:pPr>
        <w:tabs>
          <w:tab w:val="left" w:pos="851"/>
        </w:tabs>
        <w:adjustRightInd w:val="0"/>
        <w:snapToGrid w:val="0"/>
        <w:spacing w:line="360" w:lineRule="auto"/>
        <w:ind w:firstLine="360" w:firstLineChars="150"/>
        <w:jc w:val="left"/>
        <w:rPr>
          <w:rFonts w:hint="eastAsia" w:hAnsi="宋体"/>
          <w:color w:val="auto"/>
          <w:sz w:val="24"/>
          <w:highlight w:val="none"/>
        </w:rPr>
      </w:pPr>
      <w:r>
        <w:rPr>
          <w:rFonts w:hint="eastAsia" w:ascii="宋体" w:hAnsi="宋体" w:cs="宋体"/>
          <w:color w:val="auto"/>
          <w:sz w:val="24"/>
          <w:highlight w:val="none"/>
        </w:rPr>
        <w:t>36.</w:t>
      </w:r>
      <w:r>
        <w:rPr>
          <w:rFonts w:hint="eastAsia" w:ascii="宋体" w:hAnsi="宋体"/>
          <w:color w:val="auto"/>
          <w:sz w:val="24"/>
          <w:highlight w:val="none"/>
        </w:rPr>
        <w:t>询问、质</w:t>
      </w:r>
      <w:r>
        <w:rPr>
          <w:rFonts w:hint="eastAsia" w:hAnsi="宋体"/>
          <w:color w:val="auto"/>
          <w:sz w:val="24"/>
          <w:highlight w:val="none"/>
        </w:rPr>
        <w:t>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7F6D2CED">
      <w:pPr>
        <w:pStyle w:val="11"/>
        <w:rPr>
          <w:rFonts w:hint="eastAsia"/>
          <w:color w:val="auto"/>
          <w:highlight w:val="none"/>
        </w:rPr>
      </w:pPr>
    </w:p>
    <w:p w14:paraId="20C784A0">
      <w:pPr>
        <w:adjustRightInd w:val="0"/>
        <w:snapToGrid w:val="0"/>
        <w:spacing w:line="360" w:lineRule="auto"/>
        <w:ind w:firstLine="361" w:firstLineChars="150"/>
        <w:jc w:val="center"/>
        <w:rPr>
          <w:rFonts w:hint="eastAsia" w:ascii="宋体" w:hAnsi="宋体" w:cs="宋体"/>
          <w:b/>
          <w:color w:val="auto"/>
          <w:sz w:val="24"/>
          <w:highlight w:val="none"/>
        </w:rPr>
      </w:pPr>
      <w:bookmarkStart w:id="42" w:name="_Toc863"/>
      <w:bookmarkStart w:id="43" w:name="_Toc27009"/>
      <w:r>
        <w:rPr>
          <w:rFonts w:hint="eastAsia" w:ascii="宋体" w:hAnsi="宋体" w:cs="宋体"/>
          <w:b/>
          <w:color w:val="auto"/>
          <w:sz w:val="24"/>
          <w:highlight w:val="none"/>
        </w:rPr>
        <w:t>十、其他</w:t>
      </w:r>
      <w:bookmarkEnd w:id="42"/>
      <w:bookmarkEnd w:id="43"/>
    </w:p>
    <w:p w14:paraId="74DB8ADF">
      <w:pPr>
        <w:tabs>
          <w:tab w:val="left" w:pos="851"/>
        </w:tabs>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37.本磋商文件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磋商文件不再做调整。</w:t>
      </w:r>
    </w:p>
    <w:p w14:paraId="3395E70F">
      <w:pPr>
        <w:pStyle w:val="11"/>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color w:val="auto"/>
          <w:highlight w:val="none"/>
        </w:rPr>
      </w:pPr>
      <w:r>
        <w:rPr>
          <w:rFonts w:hint="eastAsia" w:ascii="宋体" w:hAnsi="宋体"/>
          <w:color w:val="auto"/>
          <w:sz w:val="24"/>
          <w:highlight w:val="none"/>
          <w:lang w:val="en-US" w:eastAsia="zh-CN"/>
        </w:rPr>
        <w:t>38.（实质性要求）国家或行业主管部门对供应商和采购产品的技术标准、质量标准和资格资质条件等有强制性规定的，必须符合其要求。</w:t>
      </w:r>
    </w:p>
    <w:p w14:paraId="6FE99736">
      <w:pPr>
        <w:adjustRightInd w:val="0"/>
        <w:snapToGrid w:val="0"/>
        <w:spacing w:line="360" w:lineRule="auto"/>
        <w:ind w:firstLine="315" w:firstLineChars="150"/>
        <w:jc w:val="center"/>
        <w:outlineLvl w:val="0"/>
        <w:rPr>
          <w:rFonts w:hint="eastAsia" w:ascii="宋体" w:hAnsi="宋体" w:cs="宋体"/>
          <w:color w:val="auto"/>
          <w:sz w:val="32"/>
          <w:szCs w:val="32"/>
          <w:highlight w:val="none"/>
        </w:rPr>
      </w:pPr>
      <w:r>
        <w:rPr>
          <w:rFonts w:hint="eastAsia" w:ascii="宋体" w:hAnsi="宋体" w:cs="宋体"/>
          <w:color w:val="auto"/>
          <w:highlight w:val="none"/>
        </w:rPr>
        <w:br w:type="page"/>
      </w:r>
      <w:bookmarkStart w:id="44" w:name="_Toc2808"/>
      <w:bookmarkStart w:id="45" w:name="_Toc20124"/>
      <w:bookmarkStart w:id="46" w:name="_Toc302928387"/>
      <w:bookmarkStart w:id="47" w:name="_Toc12355"/>
      <w:bookmarkStart w:id="48" w:name="_Toc8815"/>
      <w:bookmarkStart w:id="49" w:name="_Toc14979"/>
      <w:bookmarkStart w:id="50" w:name="_Toc32281"/>
      <w:bookmarkStart w:id="51" w:name="_Toc28833"/>
      <w:bookmarkStart w:id="52" w:name="_Toc16800"/>
      <w:r>
        <w:rPr>
          <w:rFonts w:hint="eastAsia" w:ascii="宋体" w:hAnsi="宋体" w:cs="宋体"/>
          <w:b/>
          <w:color w:val="auto"/>
          <w:sz w:val="32"/>
          <w:szCs w:val="32"/>
          <w:highlight w:val="none"/>
        </w:rPr>
        <w:t>第三章  供应商资格条件要求</w:t>
      </w:r>
      <w:bookmarkEnd w:id="44"/>
      <w:bookmarkEnd w:id="45"/>
      <w:bookmarkEnd w:id="46"/>
      <w:bookmarkEnd w:id="47"/>
      <w:bookmarkEnd w:id="48"/>
      <w:bookmarkEnd w:id="49"/>
      <w:bookmarkEnd w:id="50"/>
      <w:bookmarkEnd w:id="51"/>
      <w:bookmarkEnd w:id="52"/>
    </w:p>
    <w:p w14:paraId="320493DB">
      <w:pPr>
        <w:adjustRightInd w:val="0"/>
        <w:snapToGrid w:val="0"/>
        <w:spacing w:line="360" w:lineRule="auto"/>
        <w:ind w:firstLine="482" w:firstLineChars="200"/>
        <w:jc w:val="left"/>
        <w:rPr>
          <w:rFonts w:hint="eastAsia" w:ascii="宋体" w:hAnsi="宋体" w:cs="宋体"/>
          <w:b/>
          <w:color w:val="auto"/>
          <w:sz w:val="24"/>
          <w:highlight w:val="none"/>
          <w:lang w:val="zh-CN"/>
        </w:rPr>
      </w:pPr>
      <w:r>
        <w:rPr>
          <w:rFonts w:hint="eastAsia" w:ascii="宋体" w:hAnsi="宋体" w:cs="宋体"/>
          <w:b/>
          <w:color w:val="auto"/>
          <w:sz w:val="24"/>
          <w:highlight w:val="none"/>
          <w:lang w:val="zh-CN"/>
        </w:rPr>
        <w:t>一、资格要求</w:t>
      </w:r>
    </w:p>
    <w:p w14:paraId="06561B16">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1.符合《中华人民共和国政府采购法》第二十二条规定的供应商资格条件：</w:t>
      </w:r>
    </w:p>
    <w:p w14:paraId="6A612C08">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272A4666">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19DE6C40">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2B658051">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2B4FF7EA">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（5）参加政府采购活动前三年内，在经营活动中没有违法记录；</w:t>
      </w:r>
    </w:p>
    <w:p w14:paraId="73D4EBFC">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40149C2E">
      <w:pPr>
        <w:overflowPunct w:val="0"/>
        <w:spacing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2</w:t>
      </w:r>
      <w:r>
        <w:rPr>
          <w:rFonts w:hint="eastAsia" w:ascii="宋体" w:hAnsi="宋体" w:cs="宋体"/>
          <w:bCs/>
          <w:color w:val="auto"/>
          <w:sz w:val="24"/>
          <w:highlight w:val="none"/>
        </w:rPr>
        <w:t>.本项目是否接受联合体投标：</w:t>
      </w:r>
      <w:r>
        <w:rPr>
          <w:rFonts w:hint="eastAsia" w:ascii="宋体" w:hAnsi="宋体" w:cs="宋体"/>
          <w:bCs/>
          <w:color w:val="auto"/>
          <w:sz w:val="24"/>
          <w:highlight w:val="none"/>
        </w:rPr>
        <w:sym w:font="Wingdings" w:char="00A8"/>
      </w:r>
      <w:r>
        <w:rPr>
          <w:rFonts w:hint="eastAsia" w:ascii="宋体" w:hAnsi="宋体" w:cs="宋体"/>
          <w:bCs/>
          <w:color w:val="auto"/>
          <w:sz w:val="24"/>
          <w:highlight w:val="none"/>
        </w:rPr>
        <w:t>是</w:t>
      </w:r>
      <w:r>
        <w:rPr>
          <w:rFonts w:hint="eastAsia" w:ascii="宋体" w:hAnsi="宋体" w:cs="宋体"/>
          <w:bCs/>
          <w:color w:val="auto"/>
          <w:sz w:val="24"/>
          <w:highlight w:val="none"/>
        </w:rPr>
        <w:sym w:font="Wingdings" w:char="00FE"/>
      </w:r>
      <w:r>
        <w:rPr>
          <w:rFonts w:hint="eastAsia" w:ascii="宋体" w:hAnsi="宋体" w:cs="宋体"/>
          <w:bCs/>
          <w:color w:val="auto"/>
          <w:sz w:val="24"/>
          <w:highlight w:val="none"/>
        </w:rPr>
        <w:t>否；</w:t>
      </w:r>
    </w:p>
    <w:p w14:paraId="514D30C4">
      <w:pPr>
        <w:spacing w:after="156" w:afterLines="50" w:line="360" w:lineRule="auto"/>
        <w:ind w:firstLine="480" w:firstLineChars="200"/>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3</w:t>
      </w:r>
      <w:r>
        <w:rPr>
          <w:rFonts w:hint="eastAsia" w:ascii="宋体" w:hAnsi="宋体" w:cs="宋体"/>
          <w:bCs/>
          <w:color w:val="auto"/>
          <w:sz w:val="24"/>
          <w:highlight w:val="none"/>
        </w:rPr>
        <w:t>.本项目是否专门面对中小企业：</w:t>
      </w:r>
      <w:r>
        <w:rPr>
          <w:rFonts w:hint="eastAsia" w:ascii="宋体" w:hAnsi="宋体" w:cs="宋体"/>
          <w:bCs/>
          <w:color w:val="auto"/>
          <w:sz w:val="24"/>
          <w:highlight w:val="none"/>
        </w:rPr>
        <w:sym w:font="Wingdings" w:char="00A8"/>
      </w:r>
      <w:r>
        <w:rPr>
          <w:rFonts w:hint="eastAsia" w:ascii="宋体" w:hAnsi="宋体" w:cs="宋体"/>
          <w:bCs/>
          <w:color w:val="auto"/>
          <w:sz w:val="24"/>
          <w:highlight w:val="none"/>
        </w:rPr>
        <w:t>是</w:t>
      </w:r>
      <w:r>
        <w:rPr>
          <w:rFonts w:hint="eastAsia" w:ascii="宋体" w:hAnsi="宋体" w:cs="宋体"/>
          <w:bCs/>
          <w:color w:val="auto"/>
          <w:sz w:val="24"/>
          <w:highlight w:val="none"/>
        </w:rPr>
        <w:sym w:font="Wingdings" w:char="00FE"/>
      </w:r>
      <w:r>
        <w:rPr>
          <w:rFonts w:hint="eastAsia" w:ascii="宋体" w:hAnsi="宋体" w:cs="宋体"/>
          <w:bCs/>
          <w:color w:val="auto"/>
          <w:sz w:val="24"/>
          <w:highlight w:val="none"/>
        </w:rPr>
        <w:t>否；</w:t>
      </w:r>
    </w:p>
    <w:p w14:paraId="158F086D">
      <w:pPr>
        <w:adjustRightInd w:val="0"/>
        <w:snapToGrid w:val="0"/>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响应供应商须未被列入“信用中国”网站(www.creditchina.gov.cn)以下记录名单：①失信被执行人；②重大税收违法案件当事人名单；③政府采购严重违法失信行为。同时，不处于中国政府采购网(www.ccgp.gov.cn)“政府采购严重违法失信行为信息记录”中的禁止参加政府采购活动期间</w:t>
      </w:r>
      <w:r>
        <w:rPr>
          <w:rFonts w:hint="eastAsia" w:ascii="宋体" w:hAnsi="宋体" w:eastAsia="宋体" w:cs="宋体"/>
          <w:color w:val="auto"/>
          <w:sz w:val="24"/>
          <w:highlight w:val="none"/>
          <w:lang w:eastAsia="zh-CN"/>
        </w:rPr>
        <w:t>；</w:t>
      </w:r>
    </w:p>
    <w:p w14:paraId="4B43277A">
      <w:pPr>
        <w:pStyle w:val="2"/>
        <w:rPr>
          <w:rFonts w:hint="eastAsia"/>
          <w:lang w:val="en-US" w:eastAsia="zh-CN"/>
        </w:rPr>
      </w:pPr>
    </w:p>
    <w:p w14:paraId="0FEA4753">
      <w:pPr>
        <w:spacing w:line="360" w:lineRule="auto"/>
        <w:ind w:firstLine="361" w:firstLineChars="150"/>
        <w:jc w:val="left"/>
        <w:rPr>
          <w:rFonts w:hint="eastAsia" w:ascii="宋体" w:hAnsi="宋体" w:eastAsia="宋体" w:cs="Times New Roman"/>
          <w:b/>
          <w:bCs/>
          <w:color w:val="auto"/>
          <w:sz w:val="24"/>
          <w:highlight w:val="none"/>
          <w:lang w:val="en-US" w:eastAsia="zh-CN"/>
        </w:rPr>
      </w:pPr>
      <w:r>
        <w:rPr>
          <w:rFonts w:hint="eastAsia" w:ascii="宋体" w:hAnsi="宋体" w:eastAsia="宋体" w:cs="Times New Roman"/>
          <w:b/>
          <w:bCs/>
          <w:color w:val="auto"/>
          <w:sz w:val="24"/>
          <w:highlight w:val="none"/>
        </w:rPr>
        <w:t>注：</w:t>
      </w:r>
      <w:r>
        <w:rPr>
          <w:rFonts w:hint="eastAsia" w:ascii="宋体" w:hAnsi="宋体" w:eastAsia="宋体" w:cs="Times New Roman"/>
          <w:b/>
          <w:bCs/>
          <w:color w:val="auto"/>
          <w:sz w:val="24"/>
          <w:highlight w:val="none"/>
          <w:lang w:val="en-US" w:eastAsia="zh-CN"/>
        </w:rPr>
        <w:t>1.《</w:t>
      </w:r>
      <w:r>
        <w:rPr>
          <w:rFonts w:hint="eastAsia" w:ascii="宋体" w:hAnsi="宋体" w:eastAsia="宋体" w:cs="Times New Roman"/>
          <w:b/>
          <w:bCs/>
          <w:color w:val="auto"/>
          <w:sz w:val="24"/>
          <w:highlight w:val="none"/>
        </w:rPr>
        <w:t>财政部关于</w:t>
      </w:r>
      <w:r>
        <w:rPr>
          <w:rFonts w:hint="eastAsia" w:ascii="宋体" w:hAnsi="宋体" w:eastAsia="宋体" w:cs="Times New Roman"/>
          <w:b/>
          <w:bCs/>
          <w:color w:val="auto"/>
          <w:sz w:val="24"/>
          <w:highlight w:val="none"/>
          <w:lang w:val="en-US" w:eastAsia="zh-CN"/>
        </w:rPr>
        <w:t>&lt;</w:t>
      </w:r>
      <w:r>
        <w:rPr>
          <w:rFonts w:hint="eastAsia" w:ascii="宋体" w:hAnsi="宋体" w:eastAsia="宋体" w:cs="Times New Roman"/>
          <w:b/>
          <w:bCs/>
          <w:color w:val="auto"/>
          <w:sz w:val="24"/>
          <w:highlight w:val="none"/>
        </w:rPr>
        <w:t>中华人民共和国政府采购法实施条例</w:t>
      </w:r>
      <w:r>
        <w:rPr>
          <w:rFonts w:hint="eastAsia" w:ascii="宋体" w:hAnsi="宋体" w:eastAsia="宋体" w:cs="Times New Roman"/>
          <w:b/>
          <w:bCs/>
          <w:color w:val="auto"/>
          <w:sz w:val="24"/>
          <w:highlight w:val="none"/>
          <w:lang w:val="en-US" w:eastAsia="zh-CN"/>
        </w:rPr>
        <w:t>&gt;</w:t>
      </w:r>
      <w:r>
        <w:rPr>
          <w:rFonts w:hint="eastAsia" w:ascii="宋体" w:hAnsi="宋体" w:eastAsia="宋体" w:cs="Times New Roman"/>
          <w:b/>
          <w:bCs/>
          <w:color w:val="auto"/>
          <w:sz w:val="24"/>
          <w:highlight w:val="none"/>
        </w:rPr>
        <w:t>第十九条第一款 “较大数额罚款”具体适用问题的意见</w:t>
      </w:r>
      <w:r>
        <w:rPr>
          <w:rFonts w:hint="eastAsia" w:ascii="宋体" w:hAnsi="宋体" w:eastAsia="宋体" w:cs="Times New Roman"/>
          <w:b/>
          <w:bCs/>
          <w:color w:val="auto"/>
          <w:sz w:val="24"/>
          <w:highlight w:val="none"/>
          <w:lang w:eastAsia="zh-CN"/>
        </w:rPr>
        <w:t>》</w:t>
      </w:r>
      <w:r>
        <w:rPr>
          <w:rFonts w:hint="eastAsia" w:ascii="宋体" w:hAnsi="宋体" w:eastAsia="宋体" w:cs="Times New Roman"/>
          <w:b/>
          <w:bCs/>
          <w:color w:val="auto"/>
          <w:sz w:val="24"/>
          <w:highlight w:val="none"/>
        </w:rPr>
        <w:t>财库〔2022〕3号</w:t>
      </w:r>
      <w:r>
        <w:rPr>
          <w:rFonts w:hint="eastAsia" w:ascii="宋体" w:hAnsi="宋体" w:eastAsia="宋体" w:cs="Times New Roman"/>
          <w:b/>
          <w:bCs/>
          <w:color w:val="auto"/>
          <w:sz w:val="24"/>
          <w:highlight w:val="none"/>
          <w:lang w:val="en-US" w:eastAsia="zh-CN"/>
        </w:rPr>
        <w:t>规定：</w:t>
      </w:r>
      <w:r>
        <w:rPr>
          <w:rFonts w:hint="eastAsia" w:ascii="宋体" w:hAnsi="宋体" w:eastAsia="宋体" w:cs="Times New Roman"/>
          <w:b/>
          <w:bCs/>
          <w:color w:val="auto"/>
          <w:sz w:val="24"/>
          <w:highlight w:val="none"/>
        </w:rPr>
        <w:t>《中华人民共和国政府采购法实施条例》第十九条第一款规定的“较大数额罚款”认定为200万元以上的罚款，法律、行政法规以及国务院有关部门明确规定相关领域“较大数额罚款”标准高于200万元的，从其规定。</w:t>
      </w:r>
    </w:p>
    <w:p w14:paraId="7A88070F">
      <w:pPr>
        <w:widowControl/>
        <w:adjustRightInd w:val="0"/>
        <w:snapToGrid w:val="0"/>
        <w:spacing w:line="360" w:lineRule="auto"/>
        <w:ind w:firstLine="270" w:firstLineChars="150"/>
        <w:jc w:val="center"/>
        <w:outlineLvl w:val="0"/>
        <w:rPr>
          <w:rFonts w:hint="eastAsia" w:ascii="宋体" w:hAnsi="宋体" w:cs="宋体"/>
          <w:color w:val="auto"/>
          <w:sz w:val="32"/>
          <w:szCs w:val="32"/>
          <w:highlight w:val="none"/>
        </w:rPr>
      </w:pPr>
      <w:r>
        <w:rPr>
          <w:rFonts w:hint="eastAsia" w:ascii="宋体" w:hAnsi="宋体" w:cs="宋体"/>
          <w:color w:val="auto"/>
          <w:sz w:val="18"/>
          <w:szCs w:val="18"/>
          <w:highlight w:val="none"/>
        </w:rPr>
        <w:br w:type="page"/>
      </w:r>
      <w:bookmarkStart w:id="53" w:name="_Toc7846"/>
      <w:bookmarkStart w:id="54" w:name="_Toc18951"/>
      <w:bookmarkStart w:id="55" w:name="_Toc4715"/>
      <w:bookmarkStart w:id="56" w:name="_Toc1663508522"/>
      <w:bookmarkStart w:id="57" w:name="_Toc14968"/>
      <w:bookmarkStart w:id="58" w:name="_Toc24927"/>
      <w:bookmarkStart w:id="59" w:name="_Toc30552"/>
      <w:bookmarkStart w:id="60" w:name="_Toc31799"/>
      <w:r>
        <w:rPr>
          <w:rFonts w:hint="eastAsia" w:ascii="宋体" w:hAnsi="宋体" w:cs="宋体"/>
          <w:b/>
          <w:color w:val="auto"/>
          <w:sz w:val="32"/>
          <w:szCs w:val="32"/>
          <w:highlight w:val="none"/>
        </w:rPr>
        <w:t>第四章  供应商资格证明材料</w:t>
      </w:r>
      <w:bookmarkEnd w:id="53"/>
      <w:bookmarkEnd w:id="54"/>
      <w:bookmarkEnd w:id="55"/>
      <w:bookmarkEnd w:id="56"/>
      <w:bookmarkEnd w:id="57"/>
      <w:bookmarkEnd w:id="58"/>
      <w:bookmarkEnd w:id="59"/>
      <w:bookmarkEnd w:id="60"/>
    </w:p>
    <w:p w14:paraId="23121429">
      <w:pPr>
        <w:adjustRightInd w:val="0"/>
        <w:snapToGrid w:val="0"/>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一、资格证明材料</w:t>
      </w:r>
    </w:p>
    <w:p w14:paraId="7E294989">
      <w:pPr>
        <w:pStyle w:val="76"/>
        <w:spacing w:line="360" w:lineRule="auto"/>
        <w:ind w:firstLine="480" w:firstLineChars="200"/>
        <w:rPr>
          <w:rFonts w:hint="eastAsia" w:ascii="宋体" w:hAnsi="宋体" w:eastAsia="宋体" w:cs="宋体"/>
          <w:color w:val="auto"/>
          <w:sz w:val="24"/>
          <w:szCs w:val="24"/>
          <w:highlight w:val="none"/>
          <w:lang w:eastAsia="zh-CN"/>
        </w:rPr>
      </w:pPr>
      <w:bookmarkStart w:id="61" w:name="_Toc12020"/>
      <w:bookmarkStart w:id="62" w:name="_Toc901"/>
      <w:bookmarkStart w:id="63" w:name="_Toc13171"/>
      <w:bookmarkStart w:id="64" w:name="_Toc2001558501"/>
      <w:r>
        <w:rPr>
          <w:rFonts w:hint="eastAsia" w:ascii="宋体" w:hAnsi="宋体" w:cs="宋体"/>
          <w:color w:val="auto"/>
          <w:sz w:val="24"/>
          <w:szCs w:val="24"/>
          <w:highlight w:val="none"/>
        </w:rPr>
        <w:t>1.符合《中华人民共和国政府采购法》第二十二条规定的书面承诺（格式见本磋商文件第八章）</w:t>
      </w:r>
      <w:r>
        <w:rPr>
          <w:rFonts w:hint="eastAsia" w:ascii="宋体" w:hAnsi="宋体" w:cs="宋体"/>
          <w:color w:val="auto"/>
          <w:sz w:val="24"/>
          <w:szCs w:val="24"/>
          <w:highlight w:val="none"/>
          <w:lang w:eastAsia="zh-CN"/>
        </w:rPr>
        <w:t>；</w:t>
      </w:r>
    </w:p>
    <w:p w14:paraId="48D00955">
      <w:pPr>
        <w:pStyle w:val="76"/>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具有独立承担民事责任的能力。（注：①响应人若为企业法人：提供“统一社会信用代码营业执照”；未换证的提供“营业执照、税务登记证、组织机构代码证”；②若为事业法人：提供“统一社会信用代码法人登记证书”；未换证的提交“事业法人登记证书、组织机构代码证”；③若为其他组织：提供“对应主管部门颁发的准许执业证明文件或营业执照”；④若为自然人：提供“身份证明文件”。以上均提供复印件）</w:t>
      </w:r>
      <w:r>
        <w:rPr>
          <w:rFonts w:hint="eastAsia" w:ascii="宋体" w:hAnsi="宋体" w:cs="宋体"/>
          <w:color w:val="auto"/>
          <w:sz w:val="24"/>
          <w:szCs w:val="24"/>
          <w:highlight w:val="none"/>
          <w:lang w:eastAsia="zh-CN"/>
        </w:rPr>
        <w:t>；</w:t>
      </w:r>
    </w:p>
    <w:p w14:paraId="0D73DF52">
      <w:pPr>
        <w:pStyle w:val="76"/>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3.法定代表人授权书原件（委托代理人参加磋商活动的必须提供）</w:t>
      </w:r>
      <w:r>
        <w:rPr>
          <w:rFonts w:hint="eastAsia" w:ascii="宋体" w:hAnsi="宋体" w:cs="宋体"/>
          <w:color w:val="auto"/>
          <w:sz w:val="24"/>
          <w:highlight w:val="none"/>
          <w:lang w:eastAsia="zh-CN"/>
        </w:rPr>
        <w:t>；</w:t>
      </w:r>
    </w:p>
    <w:p w14:paraId="7C37DD85">
      <w:pPr>
        <w:pStyle w:val="76"/>
        <w:spacing w:line="36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highlight w:val="none"/>
        </w:rPr>
        <w:t>4.法定代表人和授权</w:t>
      </w:r>
      <w:r>
        <w:rPr>
          <w:rFonts w:hint="eastAsia" w:ascii="宋体" w:hAnsi="宋体" w:cs="宋体"/>
          <w:color w:val="auto"/>
          <w:sz w:val="24"/>
          <w:szCs w:val="24"/>
          <w:highlight w:val="none"/>
        </w:rPr>
        <w:t>代表</w:t>
      </w:r>
      <w:r>
        <w:rPr>
          <w:rFonts w:hint="eastAsia" w:ascii="宋体" w:hAnsi="宋体" w:cs="宋体"/>
          <w:color w:val="auto"/>
          <w:sz w:val="24"/>
          <w:highlight w:val="none"/>
        </w:rPr>
        <w:t>身份证复印件（法定代表人参加磋商活动的，仅需</w:t>
      </w:r>
      <w:r>
        <w:rPr>
          <w:rFonts w:hint="eastAsia" w:ascii="宋体" w:hAnsi="宋体" w:cs="宋体"/>
          <w:color w:val="auto"/>
          <w:sz w:val="24"/>
          <w:szCs w:val="24"/>
          <w:highlight w:val="none"/>
        </w:rPr>
        <w:t>提供本人身份证复印件）</w:t>
      </w:r>
      <w:r>
        <w:rPr>
          <w:rFonts w:hint="eastAsia" w:ascii="宋体" w:hAnsi="宋体" w:cs="宋体"/>
          <w:color w:val="auto"/>
          <w:sz w:val="24"/>
          <w:szCs w:val="24"/>
          <w:highlight w:val="none"/>
          <w:lang w:eastAsia="zh-CN"/>
        </w:rPr>
        <w:t>；</w:t>
      </w:r>
    </w:p>
    <w:p w14:paraId="34AC086E">
      <w:pPr>
        <w:pStyle w:val="76"/>
        <w:spacing w:line="360" w:lineRule="auto"/>
        <w:ind w:firstLine="480" w:firstLineChars="2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5.提供中小企业声明函原件；</w:t>
      </w:r>
    </w:p>
    <w:p w14:paraId="183AD058">
      <w:pPr>
        <w:pStyle w:val="2"/>
        <w:rPr>
          <w:rFonts w:hint="eastAsia"/>
        </w:rPr>
      </w:pPr>
    </w:p>
    <w:p w14:paraId="341D7047">
      <w:pPr>
        <w:spacing w:line="360" w:lineRule="auto"/>
        <w:jc w:val="left"/>
        <w:rPr>
          <w:rFonts w:hint="eastAsia"/>
          <w:color w:val="auto"/>
          <w:sz w:val="22"/>
          <w:szCs w:val="22"/>
          <w:highlight w:val="none"/>
        </w:rPr>
      </w:pPr>
      <w:r>
        <w:rPr>
          <w:rFonts w:hint="eastAsia" w:ascii="楷体_GB2312" w:eastAsia="楷体_GB2312"/>
          <w:b/>
          <w:color w:val="auto"/>
          <w:sz w:val="22"/>
          <w:szCs w:val="22"/>
          <w:highlight w:val="none"/>
          <w:u w:val="thick"/>
        </w:rPr>
        <w:t>▲特别说明：</w:t>
      </w:r>
      <w:r>
        <w:rPr>
          <w:color w:val="auto"/>
          <w:sz w:val="22"/>
          <w:szCs w:val="22"/>
          <w:highlight w:val="none"/>
        </w:rPr>
        <w:t>按照国家登记制度改革</w:t>
      </w:r>
      <w:r>
        <w:rPr>
          <w:rFonts w:hint="eastAsia"/>
          <w:color w:val="auto"/>
          <w:sz w:val="22"/>
          <w:szCs w:val="22"/>
          <w:highlight w:val="none"/>
        </w:rPr>
        <w:t>有关政策</w:t>
      </w:r>
      <w:r>
        <w:rPr>
          <w:color w:val="auto"/>
          <w:sz w:val="22"/>
          <w:szCs w:val="22"/>
          <w:highlight w:val="none"/>
        </w:rPr>
        <w:t>，如</w:t>
      </w:r>
      <w:r>
        <w:rPr>
          <w:rFonts w:hint="eastAsia"/>
          <w:color w:val="auto"/>
          <w:sz w:val="22"/>
          <w:szCs w:val="22"/>
          <w:highlight w:val="none"/>
        </w:rPr>
        <w:t>果响应</w:t>
      </w:r>
      <w:r>
        <w:rPr>
          <w:color w:val="auto"/>
          <w:sz w:val="22"/>
          <w:szCs w:val="22"/>
          <w:highlight w:val="none"/>
        </w:rPr>
        <w:t>人提供的营业执照为工商行政管理部门核发的统一社会信用代码的营业执照，可不再单独提供组织机构代码证和税务登记证。</w:t>
      </w:r>
    </w:p>
    <w:p w14:paraId="673F9CBA">
      <w:pPr>
        <w:spacing w:line="360" w:lineRule="auto"/>
        <w:jc w:val="left"/>
        <w:rPr>
          <w:rFonts w:ascii="宋体" w:hAnsi="宋体" w:cs="宋体"/>
          <w:color w:val="auto"/>
          <w:sz w:val="24"/>
          <w:highlight w:val="none"/>
        </w:rPr>
      </w:pPr>
      <w:r>
        <w:rPr>
          <w:rFonts w:hint="eastAsia" w:ascii="楷体_GB2312" w:eastAsia="楷体_GB2312"/>
          <w:b/>
          <w:color w:val="auto"/>
          <w:sz w:val="22"/>
          <w:szCs w:val="22"/>
          <w:highlight w:val="none"/>
          <w:u w:val="thick"/>
        </w:rPr>
        <w:t>▲特别提醒：</w:t>
      </w:r>
      <w:r>
        <w:rPr>
          <w:rFonts w:hint="eastAsia"/>
          <w:color w:val="auto"/>
          <w:sz w:val="22"/>
          <w:szCs w:val="22"/>
          <w:highlight w:val="none"/>
        </w:rPr>
        <w:t>以上证明材料要求提供复印件的必须加盖响应人(法定名称)鲜章,不得使用专用印章（如经济合同章、投标专用章等）或下属单位印章代替。同时，以上材料应逐一审查通过。</w:t>
      </w:r>
    </w:p>
    <w:p w14:paraId="0EC39D31">
      <w:pPr>
        <w:widowControl/>
        <w:overflowPunct w:val="0"/>
        <w:adjustRightInd w:val="0"/>
        <w:snapToGrid w:val="0"/>
        <w:spacing w:line="360" w:lineRule="auto"/>
        <w:jc w:val="both"/>
        <w:outlineLvl w:val="9"/>
        <w:rPr>
          <w:rFonts w:hint="eastAsia" w:ascii="宋体" w:hAnsi="宋体" w:cs="宋体"/>
          <w:b/>
          <w:color w:val="auto"/>
          <w:spacing w:val="-20"/>
          <w:sz w:val="32"/>
          <w:szCs w:val="32"/>
          <w:highlight w:val="none"/>
        </w:rPr>
      </w:pPr>
      <w:bookmarkStart w:id="65" w:name="_Toc5982"/>
      <w:bookmarkStart w:id="66" w:name="_Toc6143"/>
    </w:p>
    <w:p w14:paraId="5C8DF2DC">
      <w:pPr>
        <w:widowControl/>
        <w:overflowPunct w:val="0"/>
        <w:adjustRightInd w:val="0"/>
        <w:snapToGrid w:val="0"/>
        <w:spacing w:line="360" w:lineRule="auto"/>
        <w:jc w:val="center"/>
        <w:outlineLvl w:val="0"/>
        <w:rPr>
          <w:rFonts w:hint="eastAsia" w:ascii="宋体" w:hAnsi="宋体" w:cs="宋体"/>
          <w:b/>
          <w:color w:val="auto"/>
          <w:sz w:val="32"/>
          <w:szCs w:val="32"/>
          <w:highlight w:val="none"/>
        </w:rPr>
      </w:pPr>
      <w:bookmarkStart w:id="67" w:name="_Toc18322"/>
      <w:r>
        <w:rPr>
          <w:rFonts w:hint="eastAsia" w:ascii="宋体" w:hAnsi="宋体" w:cs="宋体"/>
          <w:b/>
          <w:color w:val="auto"/>
          <w:spacing w:val="-20"/>
          <w:sz w:val="32"/>
          <w:szCs w:val="32"/>
          <w:highlight w:val="none"/>
        </w:rPr>
        <w:br w:type="page"/>
      </w:r>
      <w:r>
        <w:rPr>
          <w:rFonts w:hint="eastAsia" w:ascii="宋体" w:hAnsi="宋体" w:cs="宋体"/>
          <w:b/>
          <w:color w:val="auto"/>
          <w:spacing w:val="-20"/>
          <w:sz w:val="32"/>
          <w:szCs w:val="32"/>
          <w:highlight w:val="none"/>
        </w:rPr>
        <w:t>第五章  采购项目技术、服务、政府采购履约主要条款及其他商务要求</w:t>
      </w:r>
      <w:bookmarkEnd w:id="61"/>
      <w:bookmarkEnd w:id="62"/>
      <w:bookmarkEnd w:id="63"/>
      <w:bookmarkEnd w:id="64"/>
      <w:bookmarkEnd w:id="65"/>
      <w:bookmarkEnd w:id="66"/>
      <w:bookmarkEnd w:id="67"/>
    </w:p>
    <w:p w14:paraId="65811A3C">
      <w:pPr>
        <w:adjustRightInd w:val="0"/>
        <w:snapToGrid w:val="0"/>
        <w:spacing w:line="360" w:lineRule="auto"/>
        <w:ind w:firstLine="361" w:firstLineChars="150"/>
        <w:jc w:val="left"/>
        <w:rPr>
          <w:rFonts w:hint="eastAsia" w:ascii="宋体" w:hAnsi="宋体" w:cs="宋体"/>
          <w:b/>
          <w:color w:val="auto"/>
          <w:sz w:val="24"/>
          <w:highlight w:val="none"/>
        </w:rPr>
      </w:pPr>
      <w:bookmarkStart w:id="68" w:name="_Toc217446094"/>
      <w:r>
        <w:rPr>
          <w:rFonts w:hint="eastAsia" w:ascii="宋体" w:hAnsi="宋体" w:cs="宋体"/>
          <w:b/>
          <w:color w:val="auto"/>
          <w:sz w:val="24"/>
          <w:highlight w:val="none"/>
        </w:rPr>
        <w:t>一、项目概述</w:t>
      </w:r>
      <w:bookmarkEnd w:id="68"/>
    </w:p>
    <w:p w14:paraId="191816F0">
      <w:pPr>
        <w:pStyle w:val="11"/>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color w:val="000000"/>
          <w:sz w:val="24"/>
          <w:highlight w:val="none"/>
          <w:lang w:eastAsia="zh-CN"/>
        </w:rPr>
      </w:pPr>
      <w:r>
        <w:rPr>
          <w:rFonts w:hint="eastAsia" w:ascii="宋体" w:hAnsi="宋体"/>
          <w:color w:val="000000"/>
          <w:sz w:val="24"/>
          <w:highlight w:val="none"/>
          <w:lang w:eastAsia="zh-CN"/>
        </w:rPr>
        <w:t>四川信息职业技术学院工程造价咨询服务采购项目</w:t>
      </w:r>
    </w:p>
    <w:p w14:paraId="3ECB9E04">
      <w:pPr>
        <w:pStyle w:val="11"/>
        <w:keepNext w:val="0"/>
        <w:keepLines w:val="0"/>
        <w:pageBreakBefore w:val="0"/>
        <w:numPr>
          <w:ilvl w:val="0"/>
          <w:numId w:val="2"/>
        </w:numPr>
        <w:kinsoku/>
        <w:wordWrap/>
        <w:overflowPunct/>
        <w:topLinePunct w:val="0"/>
        <w:autoSpaceDE/>
        <w:autoSpaceDN/>
        <w:bidi w:val="0"/>
        <w:adjustRightInd/>
        <w:snapToGrid/>
        <w:spacing w:line="360" w:lineRule="auto"/>
        <w:ind w:firstLine="241" w:firstLineChars="100"/>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采购内容</w:t>
      </w:r>
    </w:p>
    <w:p w14:paraId="466C2268">
      <w:pPr>
        <w:numPr>
          <w:ilvl w:val="0"/>
          <w:numId w:val="0"/>
        </w:numPr>
        <w:spacing w:line="360" w:lineRule="auto"/>
        <w:ind w:firstLine="480" w:firstLineChars="200"/>
        <w:rPr>
          <w:rFonts w:hint="eastAsia" w:eastAsia="宋体"/>
          <w:highlight w:val="none"/>
          <w:lang w:val="en-US" w:eastAsia="zh-CN"/>
        </w:rPr>
      </w:pPr>
      <w:r>
        <w:rPr>
          <w:rFonts w:hint="eastAsia" w:ascii="宋体" w:hAnsi="宋体"/>
          <w:color w:val="000000"/>
          <w:sz w:val="24"/>
          <w:highlight w:val="none"/>
        </w:rPr>
        <w:t>为学院小型、零星维修工程项目提供第三方中介审计服务，包含</w:t>
      </w:r>
      <w:r>
        <w:rPr>
          <w:rFonts w:hint="eastAsia" w:ascii="宋体" w:hAnsi="宋体"/>
          <w:color w:val="000000"/>
          <w:sz w:val="24"/>
          <w:highlight w:val="none"/>
          <w:lang w:val="en-US" w:eastAsia="zh-CN"/>
        </w:rPr>
        <w:t>但不限于</w:t>
      </w:r>
      <w:r>
        <w:rPr>
          <w:rFonts w:hint="eastAsia" w:ascii="宋体" w:hAnsi="宋体"/>
          <w:color w:val="000000"/>
          <w:sz w:val="24"/>
          <w:highlight w:val="none"/>
        </w:rPr>
        <w:t>工程现场勘查、工程量核对、结算资料审核、造价核算、出具正式工程结算审计报告等全流程审计工作，按校方要求完成零星维修项目造价审核、结算复核及相关审计配套服务</w:t>
      </w:r>
      <w:r>
        <w:rPr>
          <w:rFonts w:hint="eastAsia" w:ascii="宋体" w:hAnsi="宋体"/>
          <w:color w:val="000000"/>
          <w:sz w:val="24"/>
          <w:highlight w:val="none"/>
          <w:lang w:eastAsia="zh-CN"/>
        </w:rPr>
        <w:t>。</w:t>
      </w:r>
    </w:p>
    <w:p w14:paraId="75AA6918">
      <w:pPr>
        <w:numPr>
          <w:ilvl w:val="0"/>
          <w:numId w:val="3"/>
        </w:numPr>
        <w:spacing w:line="360" w:lineRule="auto"/>
        <w:ind w:firstLine="482" w:firstLineChars="200"/>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技术、服务要求</w:t>
      </w:r>
    </w:p>
    <w:p w14:paraId="06D1564E">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（一）技术要求：</w:t>
      </w:r>
    </w:p>
    <w:p w14:paraId="4816B0BE">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1.满足《建设工程造价咨询规范》（GB/T 51095-2015）、《建设工程造价咨询成果文件质量标准》（CECA/GC 7-2012)、《建设工程结算编审规程（CECA/GC3-2010）》等国家和行业的相关法规制度要求。（有最新版本的，以最新为准）</w:t>
      </w:r>
    </w:p>
    <w:p w14:paraId="73224DAA">
      <w:pPr>
        <w:pStyle w:val="82"/>
        <w:keepNext w:val="0"/>
        <w:keepLines w:val="0"/>
        <w:pageBreakBefore w:val="0"/>
        <w:kinsoku/>
        <w:wordWrap/>
        <w:overflowPunct/>
        <w:topLinePunct w:val="0"/>
        <w:autoSpaceDE/>
        <w:autoSpaceDN/>
        <w:bidi w:val="0"/>
        <w:adjustRightInd/>
        <w:snapToGrid/>
        <w:spacing w:line="360" w:lineRule="auto"/>
        <w:ind w:firstLine="624"/>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w:t>
      </w:r>
      <w:r>
        <w:rPr>
          <w:rFonts w:hint="eastAsia" w:ascii="宋体" w:hAnsi="宋体" w:cs="Times New Roman"/>
          <w:color w:val="000000"/>
          <w:kern w:val="2"/>
          <w:sz w:val="24"/>
          <w:szCs w:val="24"/>
          <w:lang w:val="en-US" w:eastAsia="zh-CN" w:bidi="ar-SA"/>
        </w:rPr>
        <w:t>二</w:t>
      </w:r>
      <w:r>
        <w:rPr>
          <w:rFonts w:hint="eastAsia" w:ascii="宋体" w:hAnsi="宋体" w:eastAsia="宋体" w:cs="Times New Roman"/>
          <w:color w:val="000000"/>
          <w:kern w:val="2"/>
          <w:sz w:val="24"/>
          <w:szCs w:val="24"/>
          <w:lang w:val="en-US" w:eastAsia="zh-CN" w:bidi="ar-SA"/>
        </w:rPr>
        <w:t>）审计服务要求</w:t>
      </w:r>
    </w:p>
    <w:p w14:paraId="778070C5">
      <w:pPr>
        <w:pStyle w:val="82"/>
        <w:keepNext w:val="0"/>
        <w:keepLines w:val="0"/>
        <w:pageBreakBefore w:val="0"/>
        <w:kinsoku/>
        <w:wordWrap/>
        <w:overflowPunct/>
        <w:topLinePunct w:val="0"/>
        <w:autoSpaceDE/>
        <w:autoSpaceDN/>
        <w:bidi w:val="0"/>
        <w:adjustRightInd/>
        <w:snapToGrid/>
        <w:spacing w:line="360" w:lineRule="auto"/>
        <w:ind w:firstLine="624"/>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对审计工作的要求。保证时间进度。成交供应商按采购人及审计工作方案对审计项目时间进度和审计内容的要求制定审计实施方案，保证审计项目按期完成。保证审计质量。成交供应商按照审计实施方案，严格执行，真实、准确、完整地反映发现的问题，确保审计内容全面实施。为了控制风险,保证审计报告的质量，采购人可向成交供应商就有关事项下发工作要求，成交供应商应按要求及时提交有关资料。为了保证审计工作进度，成交供应商应及时就审计工作进度等向采购人沟通。采</w:t>
      </w:r>
      <w:r>
        <w:rPr>
          <w:rFonts w:hint="eastAsia" w:ascii="宋体" w:hAnsi="宋体" w:eastAsia="宋体" w:cs="Times New Roman"/>
          <w:color w:val="000000"/>
          <w:kern w:val="2"/>
          <w:sz w:val="24"/>
          <w:szCs w:val="24"/>
          <w:highlight w:val="none"/>
          <w:lang w:val="en-US" w:eastAsia="zh-CN" w:bidi="ar-SA"/>
        </w:rPr>
        <w:t>购人通知进场时，成交供应商应于2日内按人员配置要求到达采购人指定的工作地点开展工作。</w:t>
      </w:r>
      <w:r>
        <w:rPr>
          <w:rFonts w:hint="eastAsia" w:ascii="宋体" w:hAnsi="宋体" w:eastAsia="宋体" w:cs="Times New Roman"/>
          <w:color w:val="000000"/>
          <w:kern w:val="2"/>
          <w:sz w:val="24"/>
          <w:szCs w:val="24"/>
          <w:lang w:val="en-US" w:eastAsia="zh-CN" w:bidi="ar-SA"/>
        </w:rPr>
        <w:t>成交供应商安排的项目负责人必须具备一定的相关审计工作经验,熟悉相关法律、法规，能充分胜任所从事的工作。成交供应商安排的参审人员必须遵守《审计“四严禁”“八不准”工作纪律》，因违反该纪律产生的后果由成交供应商全权承担，与采购人无关。成交供应商对安排的参审人员在参与审计工作中的安全负责,采购人不承担责任。</w:t>
      </w:r>
    </w:p>
    <w:p w14:paraId="6BE42192">
      <w:pPr>
        <w:pStyle w:val="82"/>
        <w:keepNext w:val="0"/>
        <w:keepLines w:val="0"/>
        <w:pageBreakBefore w:val="0"/>
        <w:kinsoku/>
        <w:wordWrap/>
        <w:overflowPunct/>
        <w:topLinePunct w:val="0"/>
        <w:autoSpaceDE/>
        <w:autoSpaceDN/>
        <w:bidi w:val="0"/>
        <w:adjustRightInd/>
        <w:snapToGrid/>
        <w:spacing w:line="360" w:lineRule="auto"/>
        <w:ind w:firstLine="624"/>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签订服务合同后，成交供应商应从接到完整的竣工结算资料之日起，单个项目按</w:t>
      </w:r>
      <w:r>
        <w:rPr>
          <w:rFonts w:hint="eastAsia" w:ascii="宋体" w:hAnsi="宋体" w:cs="Times New Roman"/>
          <w:b/>
          <w:bCs/>
          <w:color w:val="000000"/>
          <w:kern w:val="2"/>
          <w:sz w:val="24"/>
          <w:szCs w:val="24"/>
          <w:lang w:val="en-US" w:eastAsia="zh-CN" w:bidi="ar-SA"/>
        </w:rPr>
        <w:t>20</w:t>
      </w:r>
      <w:r>
        <w:rPr>
          <w:rFonts w:hint="eastAsia" w:ascii="宋体" w:hAnsi="宋体" w:eastAsia="宋体" w:cs="Times New Roman"/>
          <w:b/>
          <w:bCs/>
          <w:color w:val="000000"/>
          <w:kern w:val="2"/>
          <w:sz w:val="24"/>
          <w:szCs w:val="24"/>
          <w:lang w:val="en-US" w:eastAsia="zh-CN" w:bidi="ar-SA"/>
        </w:rPr>
        <w:t>个日历天</w:t>
      </w:r>
      <w:r>
        <w:rPr>
          <w:rFonts w:hint="eastAsia" w:ascii="宋体" w:hAnsi="宋体" w:eastAsia="宋体" w:cs="Times New Roman"/>
          <w:color w:val="000000"/>
          <w:kern w:val="2"/>
          <w:sz w:val="24"/>
          <w:szCs w:val="24"/>
          <w:lang w:val="en-US" w:eastAsia="zh-CN" w:bidi="ar-SA"/>
        </w:rPr>
        <w:t>时限审结项目，出具审核报告。如遇非成交供应商原因影响审核时间的，成交供应商应在合同约定期限内提出书面延期申请，经采购人批准后方可延期。</w:t>
      </w:r>
    </w:p>
    <w:p w14:paraId="616DB071">
      <w:pPr>
        <w:pStyle w:val="82"/>
        <w:keepNext w:val="0"/>
        <w:keepLines w:val="0"/>
        <w:pageBreakBefore w:val="0"/>
        <w:numPr>
          <w:ilvl w:val="0"/>
          <w:numId w:val="4"/>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保密要求。本项目成交供应商在项目服务履约过程中，对采购人的财务信息等严格保密，成交供应商不得违法使用或泄漏（提供书面承诺函原件并加盖供应商鲜章，格式自拟）。</w:t>
      </w:r>
    </w:p>
    <w:p w14:paraId="6768DCEF">
      <w:pPr>
        <w:pStyle w:val="82"/>
        <w:keepNext w:val="0"/>
        <w:keepLines w:val="0"/>
        <w:pageBreakBefore w:val="0"/>
        <w:kinsoku/>
        <w:wordWrap/>
        <w:overflowPunct/>
        <w:topLinePunct w:val="0"/>
        <w:autoSpaceDE/>
        <w:autoSpaceDN/>
        <w:bidi w:val="0"/>
        <w:adjustRightInd/>
        <w:snapToGrid/>
        <w:spacing w:line="360" w:lineRule="auto"/>
        <w:ind w:firstLine="624"/>
        <w:jc w:val="both"/>
        <w:textAlignment w:val="auto"/>
        <w:rPr>
          <w:rFonts w:hint="eastAsia" w:ascii="宋体" w:hAnsi="宋体" w:eastAsia="宋体" w:cs="Times New Roman"/>
          <w:color w:val="000000"/>
          <w:kern w:val="2"/>
          <w:sz w:val="24"/>
          <w:szCs w:val="24"/>
          <w:highlight w:val="none"/>
          <w:lang w:val="en-US" w:eastAsia="zh-CN" w:bidi="ar-SA"/>
        </w:rPr>
      </w:pPr>
      <w:r>
        <w:rPr>
          <w:rFonts w:hint="eastAsia" w:ascii="宋体" w:hAnsi="宋体" w:eastAsia="宋体" w:cs="Times New Roman"/>
          <w:color w:val="000000"/>
          <w:kern w:val="2"/>
          <w:sz w:val="24"/>
          <w:szCs w:val="24"/>
          <w:highlight w:val="none"/>
          <w:lang w:val="en-US" w:eastAsia="zh-CN" w:bidi="ar-SA"/>
        </w:rPr>
        <w:t>（</w:t>
      </w:r>
      <w:r>
        <w:rPr>
          <w:rFonts w:hint="eastAsia" w:ascii="宋体" w:hAnsi="宋体" w:cs="Times New Roman"/>
          <w:color w:val="000000"/>
          <w:kern w:val="2"/>
          <w:sz w:val="24"/>
          <w:szCs w:val="24"/>
          <w:highlight w:val="none"/>
          <w:lang w:val="en-US" w:eastAsia="zh-CN" w:bidi="ar-SA"/>
        </w:rPr>
        <w:t>三</w:t>
      </w:r>
      <w:r>
        <w:rPr>
          <w:rFonts w:hint="eastAsia" w:ascii="宋体" w:hAnsi="宋体" w:eastAsia="宋体" w:cs="Times New Roman"/>
          <w:color w:val="000000"/>
          <w:kern w:val="2"/>
          <w:sz w:val="24"/>
          <w:szCs w:val="24"/>
          <w:highlight w:val="none"/>
          <w:lang w:val="en-US" w:eastAsia="zh-CN" w:bidi="ar-SA"/>
        </w:rPr>
        <w:t>）审计服务成果</w:t>
      </w:r>
    </w:p>
    <w:p w14:paraId="3D4352D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审计报告需内容详实、实事求是、客观公正。审计报告初稿完成后，采购人有权对审计报告中的数据、审计意见、审计过程中发现的问题提出修改意见，若采购人认为审计报告中存在不真实、不准确等问题，可要求重新核实修正。审计报告需符合现行法律法规、行业标准及采购人要求的。</w:t>
      </w:r>
    </w:p>
    <w:p w14:paraId="0A7FA979">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b/>
          <w:bCs/>
          <w:color w:val="000000"/>
          <w:kern w:val="2"/>
          <w:sz w:val="24"/>
          <w:szCs w:val="24"/>
          <w:highlight w:val="none"/>
          <w:lang w:val="en-US" w:eastAsia="zh-CN" w:bidi="ar-SA"/>
        </w:rPr>
      </w:pPr>
      <w:r>
        <w:rPr>
          <w:rFonts w:hint="eastAsia" w:ascii="宋体" w:hAnsi="宋体" w:eastAsia="宋体" w:cs="Times New Roman"/>
          <w:color w:val="000000"/>
          <w:kern w:val="2"/>
          <w:sz w:val="24"/>
          <w:szCs w:val="24"/>
          <w:lang w:val="en-US" w:eastAsia="zh-CN" w:bidi="ar-SA"/>
        </w:rPr>
        <w:t xml:space="preserve">   2.竣工结算资料中如发现有与实际施工不一致、背离 市场价格或影响工程造价等情况的资料，有责任和义务向采购人书面指出并提出合理化建议；不得与施工单位串通，影响审核结果的公正性和准确性，审核单位出具的审核报告出现重大质量问题，</w:t>
      </w:r>
      <w:r>
        <w:rPr>
          <w:rFonts w:hint="eastAsia" w:ascii="宋体" w:hAnsi="宋体" w:eastAsia="宋体" w:cs="Times New Roman"/>
          <w:b/>
          <w:bCs/>
          <w:color w:val="000000"/>
          <w:kern w:val="2"/>
          <w:sz w:val="24"/>
          <w:szCs w:val="24"/>
          <w:highlight w:val="none"/>
          <w:lang w:val="en-US" w:eastAsia="zh-CN" w:bidi="ar-SA"/>
        </w:rPr>
        <w:t>经复审误差率在3%以上的，每超1个百分点扣减酬金（审核费）500元，直至扣完应付酬金（审核费）为止且有权要求供应商更换结算审核负责人。</w:t>
      </w:r>
    </w:p>
    <w:p w14:paraId="7B04F5DD">
      <w:pPr>
        <w:pStyle w:val="82"/>
        <w:keepNext w:val="0"/>
        <w:keepLines w:val="0"/>
        <w:pageBreakBefore w:val="0"/>
        <w:numPr>
          <w:ilvl w:val="0"/>
          <w:numId w:val="4"/>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提交成果资料:向采购人提交成果纸质件5套(A4纸)及电子文件1套，包括但不限于：</w:t>
      </w:r>
    </w:p>
    <w:p w14:paraId="74AB5AF8">
      <w:pPr>
        <w:pStyle w:val="82"/>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①工程结算审核定案表（经各方签章确认）。</w:t>
      </w:r>
    </w:p>
    <w:p w14:paraId="3B83688D">
      <w:pPr>
        <w:pStyle w:val="82"/>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②工程结算审计报告（详细说明审计情况、审减原因及依据）。</w:t>
      </w:r>
    </w:p>
    <w:p w14:paraId="3E2E6AAE">
      <w:pPr>
        <w:pStyle w:val="82"/>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③审计过程计算底稿及重要询证记录（电子版及纸质版）。</w:t>
      </w:r>
    </w:p>
    <w:p w14:paraId="138D6488">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ascii="宋体" w:hAnsi="宋体" w:eastAsia="宋体" w:cs="Times New Roman"/>
          <w:color w:val="000000"/>
          <w:kern w:val="2"/>
          <w:sz w:val="24"/>
          <w:szCs w:val="24"/>
          <w:lang w:val="en-US" w:eastAsia="zh-CN" w:bidi="ar-SA"/>
        </w:rPr>
        <w:t>④其他需要说明的资料。</w:t>
      </w:r>
    </w:p>
    <w:p w14:paraId="538F1CC4">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b/>
          <w:color w:val="000000"/>
          <w:sz w:val="24"/>
          <w:highlight w:val="none"/>
        </w:rPr>
      </w:pPr>
      <w:r>
        <w:rPr>
          <w:rFonts w:hint="eastAsia" w:ascii="宋体" w:hAnsi="宋体"/>
          <w:b/>
          <w:color w:val="000000"/>
          <w:sz w:val="24"/>
          <w:highlight w:val="none"/>
          <w:lang w:eastAsia="zh-CN"/>
        </w:rPr>
        <w:t>四</w:t>
      </w:r>
      <w:r>
        <w:rPr>
          <w:rFonts w:hint="eastAsia" w:ascii="宋体" w:hAnsi="宋体"/>
          <w:b/>
          <w:color w:val="000000"/>
          <w:sz w:val="24"/>
          <w:highlight w:val="none"/>
        </w:rPr>
        <w:t>、商务要求及售后服务要求：</w:t>
      </w:r>
    </w:p>
    <w:p w14:paraId="155F46EF">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（一）</w:t>
      </w:r>
      <w:r>
        <w:rPr>
          <w:rFonts w:hint="eastAsia" w:ascii="宋体" w:hAnsi="宋体" w:eastAsia="宋体" w:cs="Times New Roman"/>
          <w:color w:val="000000"/>
          <w:kern w:val="2"/>
          <w:sz w:val="24"/>
          <w:szCs w:val="24"/>
          <w:lang w:val="en-US" w:eastAsia="zh-CN" w:bidi="ar-SA"/>
        </w:rPr>
        <w:t>合同签订时间</w:t>
      </w:r>
    </w:p>
    <w:p w14:paraId="38AC1D00">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成交供应商应在成交公告之日起，30日内完成合同签订；由于供应商的原因逾期未与采购人签订采购合同的，将视为放弃成交，取消其成交资格。</w:t>
      </w:r>
    </w:p>
    <w:p w14:paraId="3DFA8302">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（二）</w:t>
      </w:r>
      <w:r>
        <w:rPr>
          <w:rFonts w:hint="eastAsia" w:ascii="宋体" w:hAnsi="宋体" w:eastAsia="宋体" w:cs="Times New Roman"/>
          <w:color w:val="000000"/>
          <w:kern w:val="2"/>
          <w:sz w:val="24"/>
          <w:szCs w:val="24"/>
          <w:lang w:val="en-US" w:eastAsia="zh-CN" w:bidi="ar-SA"/>
        </w:rPr>
        <w:t>服务期限：</w:t>
      </w:r>
      <w:r>
        <w:rPr>
          <w:rFonts w:hint="eastAsia" w:ascii="宋体" w:hAnsi="宋体" w:eastAsia="宋体" w:cs="Times New Roman"/>
          <w:color w:val="000000"/>
          <w:kern w:val="2"/>
          <w:sz w:val="24"/>
          <w:szCs w:val="24"/>
          <w:highlight w:val="none"/>
          <w:lang w:val="en-US" w:eastAsia="zh-CN" w:bidi="ar-SA"/>
        </w:rPr>
        <w:t>自合同签订之日起1年。</w:t>
      </w:r>
    </w:p>
    <w:p w14:paraId="4131C658">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（三）</w:t>
      </w:r>
      <w:r>
        <w:rPr>
          <w:rFonts w:hint="eastAsia" w:ascii="宋体" w:hAnsi="宋体" w:eastAsia="宋体" w:cs="Times New Roman"/>
          <w:color w:val="auto"/>
          <w:kern w:val="2"/>
          <w:sz w:val="24"/>
          <w:szCs w:val="24"/>
          <w:lang w:val="en-US" w:eastAsia="zh-CN" w:bidi="ar-SA"/>
        </w:rPr>
        <w:t>付款方式和付款进度：</w:t>
      </w:r>
    </w:p>
    <w:p w14:paraId="6FE9294D">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auto"/>
          <w:kern w:val="2"/>
          <w:sz w:val="24"/>
          <w:szCs w:val="24"/>
          <w:highlight w:val="cyan"/>
          <w:lang w:val="en-US" w:eastAsia="zh-CN" w:bidi="ar-SA"/>
        </w:rPr>
      </w:pPr>
      <w:r>
        <w:rPr>
          <w:rFonts w:hint="eastAsia" w:ascii="宋体" w:hAnsi="宋体" w:eastAsia="宋体" w:cs="Times New Roman"/>
          <w:color w:val="auto"/>
          <w:kern w:val="2"/>
          <w:sz w:val="24"/>
          <w:szCs w:val="24"/>
          <w:lang w:val="en-US" w:eastAsia="zh-CN" w:bidi="ar-SA"/>
        </w:rPr>
        <w:t>由采购人直接向成交供应商支付，每完成一个项目，提交正式审计报告并经采购人验收合格后</w:t>
      </w:r>
      <w:r>
        <w:rPr>
          <w:rFonts w:hint="eastAsia" w:ascii="宋体" w:hAnsi="宋体" w:eastAsia="宋体" w:cs="Times New Roman"/>
          <w:color w:val="auto"/>
          <w:kern w:val="2"/>
          <w:sz w:val="24"/>
          <w:szCs w:val="24"/>
          <w:highlight w:val="none"/>
          <w:lang w:val="en-US" w:eastAsia="zh-CN" w:bidi="ar-SA"/>
        </w:rPr>
        <w:t>，</w:t>
      </w:r>
      <w:r>
        <w:rPr>
          <w:rFonts w:hint="eastAsia" w:ascii="宋体" w:hAnsi="宋体" w:cs="Times New Roman"/>
          <w:color w:val="auto"/>
          <w:kern w:val="2"/>
          <w:sz w:val="24"/>
          <w:szCs w:val="24"/>
          <w:highlight w:val="none"/>
          <w:lang w:val="en-US" w:eastAsia="zh-CN" w:bidi="ar-SA"/>
        </w:rPr>
        <w:t>2</w:t>
      </w:r>
      <w:r>
        <w:rPr>
          <w:rFonts w:hint="eastAsia" w:ascii="宋体" w:hAnsi="宋体" w:eastAsia="宋体" w:cs="Times New Roman"/>
          <w:color w:val="auto"/>
          <w:kern w:val="2"/>
          <w:sz w:val="24"/>
          <w:szCs w:val="24"/>
          <w:highlight w:val="none"/>
          <w:lang w:val="en-US" w:eastAsia="zh-CN" w:bidi="ar-SA"/>
        </w:rPr>
        <w:t>个月内根据项目金额结算。</w:t>
      </w:r>
    </w:p>
    <w:p w14:paraId="2D511121">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 xml:space="preserve">（四）服务费用：包括基本审核费和效益审核费。依据《四川省物价局、四川省建设厅关于印发〈四川省工程造价咨询服务收费标准〉的通知》（川价发〔2008〕141 号）对应服务基准收费标准及供应商投标时最终下浮比例计算。 </w:t>
      </w:r>
      <w:r>
        <w:rPr>
          <w:rFonts w:hint="eastAsia" w:ascii="宋体" w:hAnsi="宋体" w:eastAsia="宋体" w:cs="Times New Roman"/>
          <w:color w:val="auto"/>
          <w:kern w:val="2"/>
          <w:sz w:val="24"/>
          <w:szCs w:val="24"/>
          <w:highlight w:val="none"/>
          <w:lang w:val="en-US" w:eastAsia="zh-CN" w:bidi="ar-SA"/>
        </w:rPr>
        <w:t>效益审计费（</w:t>
      </w:r>
      <w:r>
        <w:rPr>
          <w:rFonts w:hint="eastAsia" w:ascii="宋体" w:hAnsi="宋体" w:eastAsia="宋体" w:cs="Times New Roman"/>
          <w:b/>
          <w:bCs/>
          <w:color w:val="auto"/>
          <w:kern w:val="2"/>
          <w:sz w:val="24"/>
          <w:szCs w:val="24"/>
          <w:highlight w:val="none"/>
          <w:lang w:val="en-US" w:eastAsia="zh-CN" w:bidi="ar-SA"/>
        </w:rPr>
        <w:t>参与下浮，同投标下浮比例</w:t>
      </w:r>
      <w:r>
        <w:rPr>
          <w:rFonts w:hint="eastAsia" w:ascii="宋体" w:hAnsi="宋体" w:eastAsia="宋体" w:cs="Times New Roman"/>
          <w:color w:val="auto"/>
          <w:kern w:val="2"/>
          <w:sz w:val="24"/>
          <w:szCs w:val="24"/>
          <w:highlight w:val="none"/>
          <w:lang w:val="en-US" w:eastAsia="zh-CN" w:bidi="ar-SA"/>
        </w:rPr>
        <w:t>）</w:t>
      </w:r>
      <w:r>
        <w:rPr>
          <w:rFonts w:hint="eastAsia" w:ascii="宋体" w:hAnsi="宋体" w:eastAsia="宋体" w:cs="Times New Roman"/>
          <w:color w:val="auto"/>
          <w:kern w:val="2"/>
          <w:sz w:val="24"/>
          <w:szCs w:val="24"/>
          <w:highlight w:val="none"/>
          <w:lang w:val="en-US" w:eastAsia="zh-CN" w:bidi="ar-SA"/>
        </w:rPr>
        <w:t>：审减率在3%以内（含3%），不计取效益审计费；审减率在3%以上的按审减额的4%计取效益审计费。  注：（整个项目全部收费金额低于人民币3000元，按3000元收取）</w:t>
      </w:r>
    </w:p>
    <w:p w14:paraId="48FF1CDF">
      <w:pPr>
        <w:pStyle w:val="82"/>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（五）</w:t>
      </w:r>
      <w:r>
        <w:rPr>
          <w:rFonts w:hint="eastAsia" w:ascii="宋体" w:hAnsi="宋体" w:eastAsia="宋体" w:cs="Times New Roman"/>
          <w:color w:val="auto"/>
          <w:kern w:val="2"/>
          <w:sz w:val="24"/>
          <w:szCs w:val="24"/>
          <w:lang w:val="en-US" w:eastAsia="zh-CN" w:bidi="ar-SA"/>
        </w:rPr>
        <w:t>人员配置</w:t>
      </w:r>
    </w:p>
    <w:p w14:paraId="7B2A34B1">
      <w:pPr>
        <w:pStyle w:val="82"/>
        <w:keepNext w:val="0"/>
        <w:keepLines w:val="0"/>
        <w:pageBreakBefore w:val="0"/>
        <w:kinsoku/>
        <w:wordWrap/>
        <w:overflowPunct/>
        <w:topLinePunct w:val="0"/>
        <w:autoSpaceDE/>
        <w:autoSpaceDN/>
        <w:bidi w:val="0"/>
        <w:adjustRightInd/>
        <w:snapToGrid/>
        <w:spacing w:line="360" w:lineRule="auto"/>
        <w:ind w:firstLine="720" w:firstLineChars="300"/>
        <w:jc w:val="both"/>
        <w:textAlignment w:val="auto"/>
        <w:rPr>
          <w:rFonts w:hint="eastAsia" w:ascii="宋体" w:hAnsi="宋体" w:eastAsia="宋体" w:cs="Times New Roman"/>
          <w:color w:val="auto"/>
          <w:kern w:val="2"/>
          <w:sz w:val="24"/>
          <w:szCs w:val="24"/>
          <w:lang w:val="en-US" w:eastAsia="zh-CN" w:bidi="ar-SA"/>
        </w:rPr>
      </w:pPr>
      <w:r>
        <w:rPr>
          <w:rFonts w:hint="eastAsia" w:ascii="宋体" w:hAnsi="宋体" w:cs="Times New Roman"/>
          <w:color w:val="auto"/>
          <w:kern w:val="2"/>
          <w:sz w:val="24"/>
          <w:szCs w:val="24"/>
          <w:lang w:val="en-US" w:eastAsia="zh-CN" w:bidi="ar-SA"/>
        </w:rPr>
        <w:t>①</w:t>
      </w:r>
      <w:r>
        <w:rPr>
          <w:rFonts w:hint="eastAsia" w:ascii="宋体" w:hAnsi="宋体" w:eastAsia="宋体" w:cs="Times New Roman"/>
          <w:color w:val="auto"/>
          <w:kern w:val="2"/>
          <w:sz w:val="24"/>
          <w:szCs w:val="24"/>
          <w:lang w:val="en-US" w:eastAsia="zh-CN" w:bidi="ar-SA"/>
        </w:rPr>
        <w:t>配备的人员应该具备相应的专业技术能力。</w:t>
      </w:r>
    </w:p>
    <w:p w14:paraId="68CEB9C3">
      <w:pPr>
        <w:pStyle w:val="82"/>
        <w:keepNext w:val="0"/>
        <w:keepLines w:val="0"/>
        <w:pageBreakBefore w:val="0"/>
        <w:kinsoku/>
        <w:wordWrap/>
        <w:overflowPunct/>
        <w:topLinePunct w:val="0"/>
        <w:autoSpaceDE/>
        <w:autoSpaceDN/>
        <w:bidi w:val="0"/>
        <w:adjustRightInd/>
        <w:snapToGrid/>
        <w:spacing w:line="360" w:lineRule="auto"/>
        <w:ind w:firstLine="720" w:firstLineChars="300"/>
        <w:jc w:val="both"/>
        <w:textAlignment w:val="auto"/>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②</w:t>
      </w:r>
      <w:r>
        <w:rPr>
          <w:rFonts w:hint="eastAsia" w:ascii="宋体" w:hAnsi="宋体" w:eastAsia="宋体" w:cs="Times New Roman"/>
          <w:color w:val="000000"/>
          <w:kern w:val="2"/>
          <w:sz w:val="24"/>
          <w:szCs w:val="24"/>
          <w:lang w:val="en-US" w:eastAsia="zh-CN" w:bidi="ar-SA"/>
        </w:rPr>
        <w:t>审计正式开始时须提供入场人员的证书。</w:t>
      </w:r>
    </w:p>
    <w:p w14:paraId="06749685">
      <w:pPr>
        <w:keepNext w:val="0"/>
        <w:keepLines w:val="0"/>
        <w:pageBreakBefore w:val="0"/>
        <w:numPr>
          <w:ilvl w:val="0"/>
          <w:numId w:val="0"/>
        </w:numPr>
        <w:kinsoku/>
        <w:wordWrap/>
        <w:overflowPunct/>
        <w:topLinePunct w:val="0"/>
        <w:autoSpaceDE/>
        <w:autoSpaceDN/>
        <w:bidi w:val="0"/>
        <w:adjustRightInd/>
        <w:snapToGrid/>
        <w:spacing w:line="360" w:lineRule="auto"/>
        <w:ind w:firstLine="720" w:firstLineChars="300"/>
        <w:textAlignment w:val="auto"/>
        <w:rPr>
          <w:rFonts w:hint="eastAsia"/>
          <w:lang w:val="en-US" w:eastAsia="zh-CN"/>
        </w:rPr>
      </w:pPr>
      <w:r>
        <w:rPr>
          <w:rFonts w:hint="eastAsia" w:ascii="宋体" w:hAnsi="宋体" w:cs="Times New Roman"/>
          <w:color w:val="000000"/>
          <w:kern w:val="2"/>
          <w:sz w:val="24"/>
          <w:szCs w:val="24"/>
          <w:lang w:val="en-US" w:eastAsia="zh-CN" w:bidi="ar-SA"/>
        </w:rPr>
        <w:t>③</w:t>
      </w:r>
      <w:r>
        <w:rPr>
          <w:rFonts w:hint="eastAsia" w:ascii="宋体" w:hAnsi="宋体" w:eastAsia="宋体" w:cs="Times New Roman"/>
          <w:color w:val="000000"/>
          <w:kern w:val="2"/>
          <w:sz w:val="24"/>
          <w:szCs w:val="24"/>
          <w:lang w:val="en-US" w:eastAsia="zh-CN" w:bidi="ar-SA"/>
        </w:rPr>
        <w:t>其他相关要求。项目负责人驻现场开展审计；未经采购人同意不得更换项目负责人，直至所有项目所有内容完成，经采购人验收合格；成交供应商及其投入本项目的审计人员应当恪守职业道德，廉洁自律，接受采购人的监督、指导和管理。</w:t>
      </w:r>
    </w:p>
    <w:p w14:paraId="0A643E84">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（六）</w:t>
      </w:r>
      <w:r>
        <w:rPr>
          <w:rFonts w:hint="eastAsia" w:ascii="宋体" w:hAnsi="宋体" w:eastAsia="宋体" w:cs="Times New Roman"/>
          <w:color w:val="000000"/>
          <w:kern w:val="2"/>
          <w:sz w:val="24"/>
          <w:szCs w:val="24"/>
          <w:lang w:val="en-US" w:eastAsia="zh-CN" w:bidi="ar-SA"/>
        </w:rPr>
        <w:t>验收标准：由采购人严格按照政府采购相关法律法规以及《财政部关于进一步加强政府采购需求和履约验收管理的指导意见》（财库〔2016〕205号）的要求、磋商文件的服务要求和服务指标、成交供应商的响应文件及承诺以及合同约定进行验收。</w:t>
      </w:r>
    </w:p>
    <w:p w14:paraId="6D839835">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color w:val="000000"/>
          <w:kern w:val="2"/>
          <w:sz w:val="24"/>
          <w:szCs w:val="24"/>
          <w:lang w:val="zh-CN" w:eastAsia="zh-CN" w:bidi="ar-SA"/>
        </w:rPr>
      </w:pPr>
      <w:bookmarkStart w:id="69" w:name="_Toc267320049"/>
      <w:r>
        <w:rPr>
          <w:rFonts w:hint="eastAsia" w:ascii="宋体" w:hAnsi="宋体" w:cs="Times New Roman"/>
          <w:color w:val="000000"/>
          <w:kern w:val="2"/>
          <w:sz w:val="24"/>
          <w:szCs w:val="24"/>
          <w:lang w:val="en-US" w:eastAsia="zh-CN" w:bidi="ar-SA"/>
        </w:rPr>
        <w:t>（七）</w:t>
      </w:r>
      <w:r>
        <w:rPr>
          <w:rFonts w:hint="eastAsia" w:ascii="宋体" w:hAnsi="宋体" w:eastAsia="宋体" w:cs="Times New Roman"/>
          <w:color w:val="000000"/>
          <w:kern w:val="2"/>
          <w:sz w:val="24"/>
          <w:szCs w:val="24"/>
          <w:lang w:val="en-US" w:eastAsia="zh-CN" w:bidi="ar-SA"/>
        </w:rPr>
        <w:t>实施地点</w:t>
      </w:r>
      <w:bookmarkEnd w:id="69"/>
      <w:r>
        <w:rPr>
          <w:rFonts w:hint="eastAsia" w:ascii="宋体" w:hAnsi="宋体" w:eastAsia="宋体" w:cs="Times New Roman"/>
          <w:color w:val="000000"/>
          <w:kern w:val="2"/>
          <w:sz w:val="24"/>
          <w:szCs w:val="24"/>
          <w:lang w:val="en-US" w:eastAsia="zh-CN" w:bidi="ar-SA"/>
        </w:rPr>
        <w:t>：四川信息职业技术学院指定地点。</w:t>
      </w:r>
    </w:p>
    <w:p w14:paraId="0DCB3351">
      <w:pPr>
        <w:pStyle w:val="4"/>
        <w:keepNext w:val="0"/>
        <w:keepLines w:val="0"/>
        <w:spacing w:before="0" w:after="0" w:line="240" w:lineRule="auto"/>
        <w:outlineLvl w:val="9"/>
        <w:rPr>
          <w:rFonts w:hint="eastAsia" w:ascii="宋体" w:hAnsi="Times New Roman" w:eastAsia="宋体"/>
          <w:b w:val="0"/>
          <w:bCs w:val="0"/>
          <w:color w:val="auto"/>
          <w:kern w:val="0"/>
          <w:sz w:val="21"/>
          <w:szCs w:val="21"/>
          <w:highlight w:val="none"/>
        </w:rPr>
      </w:pPr>
      <w:r>
        <w:rPr>
          <w:rFonts w:hint="eastAsia" w:ascii="宋体" w:hAnsi="Times New Roman" w:eastAsia="宋体"/>
          <w:b w:val="0"/>
          <w:bCs w:val="0"/>
          <w:color w:val="auto"/>
          <w:kern w:val="0"/>
          <w:sz w:val="21"/>
          <w:szCs w:val="21"/>
          <w:highlight w:val="none"/>
        </w:rPr>
        <w:br w:type="page"/>
      </w:r>
    </w:p>
    <w:p w14:paraId="40B8923E">
      <w:pPr>
        <w:adjustRightInd w:val="0"/>
        <w:snapToGrid w:val="0"/>
        <w:spacing w:line="360" w:lineRule="auto"/>
        <w:jc w:val="center"/>
        <w:outlineLvl w:val="0"/>
        <w:rPr>
          <w:rFonts w:hint="eastAsia" w:ascii="宋体" w:hAnsi="宋体" w:cs="宋体"/>
          <w:b/>
          <w:color w:val="auto"/>
          <w:sz w:val="32"/>
          <w:szCs w:val="32"/>
          <w:highlight w:val="none"/>
        </w:rPr>
      </w:pPr>
      <w:bookmarkStart w:id="70" w:name="_Toc16991"/>
      <w:bookmarkStart w:id="71" w:name="_Toc31251"/>
      <w:bookmarkStart w:id="72" w:name="_Toc16551"/>
      <w:bookmarkStart w:id="73" w:name="_Toc3483"/>
      <w:bookmarkStart w:id="74" w:name="_Toc1483432843"/>
      <w:bookmarkStart w:id="75" w:name="_Toc11065"/>
      <w:bookmarkStart w:id="76" w:name="_Toc23920"/>
      <w:r>
        <w:rPr>
          <w:rFonts w:hint="eastAsia" w:ascii="宋体" w:hAnsi="宋体" w:cs="宋体"/>
          <w:b/>
          <w:color w:val="auto"/>
          <w:sz w:val="32"/>
          <w:szCs w:val="32"/>
          <w:highlight w:val="none"/>
        </w:rPr>
        <w:t>第六章  采购项目实质性要求</w:t>
      </w:r>
      <w:bookmarkEnd w:id="70"/>
      <w:bookmarkEnd w:id="71"/>
      <w:bookmarkEnd w:id="72"/>
      <w:bookmarkEnd w:id="73"/>
      <w:bookmarkEnd w:id="74"/>
      <w:bookmarkEnd w:id="75"/>
      <w:bookmarkEnd w:id="76"/>
    </w:p>
    <w:p w14:paraId="5ED1BF5D">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供应商资格必须符合国家有关规定和磋商采购文件资格性要求；若磋商结果无实质性变动,供应商必须满足采购文件规定的所有实质性要求，并且响应文件中不能附有采购人不能接受的条件。否则将视作无效文件处理。</w:t>
      </w:r>
    </w:p>
    <w:p w14:paraId="2FDD2BA2">
      <w:pPr>
        <w:spacing w:line="360" w:lineRule="auto"/>
        <w:jc w:val="left"/>
        <w:rPr>
          <w:rFonts w:hint="eastAsia" w:ascii="宋体" w:hAnsi="宋体" w:cs="宋体"/>
          <w:bCs/>
          <w:color w:val="auto"/>
          <w:sz w:val="24"/>
          <w:highlight w:val="none"/>
        </w:rPr>
      </w:pPr>
    </w:p>
    <w:p w14:paraId="6A994F3C">
      <w:pPr>
        <w:pStyle w:val="22"/>
        <w:rPr>
          <w:rFonts w:hint="eastAsia" w:ascii="宋体" w:hAnsi="宋体" w:eastAsia="宋体" w:cs="宋体"/>
          <w:bCs/>
          <w:color w:val="auto"/>
          <w:sz w:val="24"/>
          <w:highlight w:val="none"/>
        </w:rPr>
      </w:pPr>
    </w:p>
    <w:p w14:paraId="496AB161">
      <w:pPr>
        <w:rPr>
          <w:rFonts w:hint="eastAsia" w:ascii="宋体" w:hAnsi="宋体" w:cs="宋体"/>
          <w:bCs/>
          <w:color w:val="auto"/>
          <w:sz w:val="24"/>
          <w:highlight w:val="none"/>
        </w:rPr>
      </w:pPr>
    </w:p>
    <w:p w14:paraId="463B5235">
      <w:pPr>
        <w:pStyle w:val="22"/>
        <w:rPr>
          <w:rFonts w:hint="eastAsia"/>
          <w:color w:val="auto"/>
          <w:highlight w:val="none"/>
        </w:rPr>
      </w:pPr>
    </w:p>
    <w:p w14:paraId="237BDDAC">
      <w:pPr>
        <w:rPr>
          <w:rFonts w:hint="eastAsia"/>
          <w:color w:val="auto"/>
          <w:highlight w:val="none"/>
        </w:rPr>
      </w:pPr>
    </w:p>
    <w:p w14:paraId="3B19EE54">
      <w:pPr>
        <w:pStyle w:val="2"/>
        <w:rPr>
          <w:rFonts w:hint="eastAsia"/>
          <w:color w:val="auto"/>
          <w:highlight w:val="none"/>
        </w:rPr>
      </w:pPr>
    </w:p>
    <w:p w14:paraId="70117B24">
      <w:pPr>
        <w:rPr>
          <w:rFonts w:hint="eastAsia"/>
          <w:color w:val="auto"/>
          <w:highlight w:val="none"/>
        </w:rPr>
      </w:pPr>
    </w:p>
    <w:p w14:paraId="48A3D770">
      <w:pPr>
        <w:pStyle w:val="2"/>
        <w:rPr>
          <w:rFonts w:hint="eastAsia"/>
          <w:color w:val="auto"/>
          <w:highlight w:val="none"/>
        </w:rPr>
      </w:pPr>
    </w:p>
    <w:p w14:paraId="380C721A">
      <w:pPr>
        <w:rPr>
          <w:rFonts w:hint="eastAsia"/>
          <w:color w:val="auto"/>
          <w:highlight w:val="none"/>
        </w:rPr>
      </w:pPr>
    </w:p>
    <w:p w14:paraId="1349334A">
      <w:pPr>
        <w:pStyle w:val="2"/>
        <w:rPr>
          <w:rFonts w:hint="eastAsia"/>
          <w:color w:val="auto"/>
          <w:highlight w:val="none"/>
        </w:rPr>
      </w:pPr>
    </w:p>
    <w:p w14:paraId="4922E7F1">
      <w:pPr>
        <w:rPr>
          <w:rFonts w:hint="eastAsia"/>
          <w:color w:val="auto"/>
          <w:highlight w:val="none"/>
        </w:rPr>
      </w:pPr>
    </w:p>
    <w:p w14:paraId="104A33E6">
      <w:pPr>
        <w:pStyle w:val="2"/>
        <w:rPr>
          <w:rFonts w:hint="eastAsia"/>
          <w:color w:val="auto"/>
          <w:highlight w:val="none"/>
        </w:rPr>
      </w:pPr>
    </w:p>
    <w:p w14:paraId="3D14CE08">
      <w:pPr>
        <w:rPr>
          <w:rFonts w:hint="eastAsia"/>
          <w:color w:val="auto"/>
          <w:highlight w:val="none"/>
        </w:rPr>
      </w:pPr>
    </w:p>
    <w:p w14:paraId="632689EB">
      <w:pPr>
        <w:pStyle w:val="2"/>
        <w:rPr>
          <w:rFonts w:hint="eastAsia"/>
          <w:color w:val="auto"/>
          <w:highlight w:val="none"/>
        </w:rPr>
      </w:pPr>
    </w:p>
    <w:p w14:paraId="52CF3345">
      <w:pPr>
        <w:rPr>
          <w:rFonts w:hint="eastAsia"/>
          <w:color w:val="auto"/>
          <w:highlight w:val="none"/>
        </w:rPr>
      </w:pPr>
    </w:p>
    <w:p w14:paraId="08C2098E">
      <w:pPr>
        <w:pStyle w:val="2"/>
        <w:rPr>
          <w:rFonts w:hint="eastAsia"/>
          <w:color w:val="auto"/>
          <w:highlight w:val="none"/>
        </w:rPr>
      </w:pPr>
    </w:p>
    <w:p w14:paraId="21539EEF">
      <w:pPr>
        <w:rPr>
          <w:rFonts w:hint="eastAsia"/>
          <w:color w:val="auto"/>
          <w:highlight w:val="none"/>
        </w:rPr>
      </w:pPr>
    </w:p>
    <w:p w14:paraId="4EA4CA41">
      <w:pPr>
        <w:pStyle w:val="2"/>
        <w:rPr>
          <w:rFonts w:hint="eastAsia"/>
          <w:color w:val="auto"/>
          <w:highlight w:val="none"/>
        </w:rPr>
      </w:pPr>
    </w:p>
    <w:p w14:paraId="06D76932">
      <w:pPr>
        <w:rPr>
          <w:rFonts w:hint="eastAsia"/>
          <w:color w:val="auto"/>
          <w:highlight w:val="none"/>
        </w:rPr>
      </w:pPr>
    </w:p>
    <w:p w14:paraId="51A3C964">
      <w:pPr>
        <w:pStyle w:val="2"/>
        <w:rPr>
          <w:rFonts w:hint="eastAsia"/>
          <w:color w:val="auto"/>
          <w:highlight w:val="none"/>
        </w:rPr>
      </w:pPr>
    </w:p>
    <w:p w14:paraId="73EC4D5F">
      <w:pPr>
        <w:rPr>
          <w:rFonts w:hint="eastAsia"/>
          <w:color w:val="auto"/>
          <w:highlight w:val="none"/>
        </w:rPr>
      </w:pPr>
    </w:p>
    <w:p w14:paraId="224D85E7">
      <w:pPr>
        <w:pStyle w:val="2"/>
        <w:rPr>
          <w:rFonts w:hint="eastAsia"/>
          <w:color w:val="auto"/>
          <w:highlight w:val="none"/>
        </w:rPr>
      </w:pPr>
    </w:p>
    <w:p w14:paraId="4E8DDBC7">
      <w:pPr>
        <w:rPr>
          <w:rFonts w:hint="eastAsia"/>
          <w:color w:val="auto"/>
          <w:highlight w:val="none"/>
        </w:rPr>
      </w:pPr>
    </w:p>
    <w:p w14:paraId="61A84BA4">
      <w:pPr>
        <w:pStyle w:val="2"/>
        <w:rPr>
          <w:rFonts w:hint="eastAsia"/>
          <w:color w:val="auto"/>
          <w:highlight w:val="none"/>
        </w:rPr>
      </w:pPr>
    </w:p>
    <w:p w14:paraId="5EF5DA18">
      <w:pPr>
        <w:rPr>
          <w:rFonts w:hint="eastAsia"/>
          <w:color w:val="auto"/>
          <w:highlight w:val="none"/>
        </w:rPr>
      </w:pPr>
    </w:p>
    <w:p w14:paraId="52437749">
      <w:pPr>
        <w:pStyle w:val="2"/>
        <w:rPr>
          <w:rFonts w:hint="eastAsia"/>
          <w:color w:val="auto"/>
          <w:highlight w:val="none"/>
        </w:rPr>
      </w:pPr>
    </w:p>
    <w:p w14:paraId="2C36568B">
      <w:pPr>
        <w:rPr>
          <w:rFonts w:hint="eastAsia"/>
          <w:color w:val="auto"/>
          <w:highlight w:val="none"/>
        </w:rPr>
      </w:pPr>
    </w:p>
    <w:p w14:paraId="34957A31">
      <w:pPr>
        <w:pStyle w:val="2"/>
        <w:rPr>
          <w:rFonts w:hint="eastAsia"/>
          <w:color w:val="auto"/>
          <w:highlight w:val="none"/>
        </w:rPr>
      </w:pPr>
    </w:p>
    <w:p w14:paraId="72FA514D">
      <w:pPr>
        <w:rPr>
          <w:rFonts w:hint="eastAsia"/>
          <w:color w:val="auto"/>
          <w:highlight w:val="none"/>
        </w:rPr>
      </w:pPr>
    </w:p>
    <w:p w14:paraId="4D05968D">
      <w:pPr>
        <w:pStyle w:val="2"/>
        <w:rPr>
          <w:rFonts w:hint="eastAsia"/>
          <w:color w:val="auto"/>
          <w:highlight w:val="none"/>
        </w:rPr>
      </w:pPr>
    </w:p>
    <w:p w14:paraId="23D716BC">
      <w:pPr>
        <w:rPr>
          <w:rFonts w:hint="eastAsia"/>
        </w:rPr>
      </w:pPr>
    </w:p>
    <w:p w14:paraId="026EF273">
      <w:pPr>
        <w:adjustRightInd w:val="0"/>
        <w:snapToGrid w:val="0"/>
        <w:spacing w:line="360" w:lineRule="auto"/>
        <w:jc w:val="center"/>
        <w:outlineLvl w:val="0"/>
        <w:rPr>
          <w:rFonts w:hint="eastAsia" w:ascii="宋体" w:hAnsi="宋体" w:cs="宋体"/>
          <w:b/>
          <w:color w:val="auto"/>
          <w:sz w:val="32"/>
          <w:szCs w:val="32"/>
          <w:highlight w:val="none"/>
        </w:rPr>
      </w:pPr>
      <w:bookmarkStart w:id="77" w:name="_Toc17907"/>
      <w:bookmarkStart w:id="78" w:name="_Toc15281"/>
      <w:bookmarkStart w:id="79" w:name="_Toc103777920"/>
      <w:bookmarkStart w:id="80" w:name="_Toc21776"/>
      <w:bookmarkStart w:id="81" w:name="_Toc1567"/>
      <w:bookmarkStart w:id="82" w:name="_Toc1386800941"/>
      <w:bookmarkStart w:id="83" w:name="_Toc28321"/>
      <w:bookmarkStart w:id="84" w:name="_Toc23130"/>
      <w:bookmarkStart w:id="85" w:name="_Toc12821"/>
      <w:r>
        <w:rPr>
          <w:rFonts w:hint="eastAsia" w:ascii="宋体" w:hAnsi="宋体" w:cs="宋体"/>
          <w:b/>
          <w:color w:val="auto"/>
          <w:sz w:val="32"/>
          <w:szCs w:val="32"/>
          <w:highlight w:val="none"/>
        </w:rPr>
        <w:t>第七章  磋商内容、磋商过程中可实质性变动的内容</w:t>
      </w:r>
      <w:bookmarkEnd w:id="77"/>
      <w:bookmarkEnd w:id="78"/>
      <w:bookmarkEnd w:id="79"/>
      <w:bookmarkEnd w:id="80"/>
      <w:bookmarkEnd w:id="81"/>
    </w:p>
    <w:p w14:paraId="2A4C746A">
      <w:pPr>
        <w:adjustRightInd w:val="0"/>
        <w:snapToGrid w:val="0"/>
        <w:spacing w:line="360" w:lineRule="auto"/>
        <w:ind w:firstLine="361" w:firstLineChars="150"/>
        <w:jc w:val="left"/>
        <w:rPr>
          <w:rFonts w:hint="eastAsia" w:ascii="宋体" w:hAnsi="宋体" w:cs="宋体"/>
          <w:b/>
          <w:color w:val="auto"/>
          <w:sz w:val="24"/>
          <w:highlight w:val="none"/>
        </w:rPr>
      </w:pPr>
      <w:r>
        <w:rPr>
          <w:rFonts w:hint="eastAsia" w:ascii="宋体" w:hAnsi="宋体" w:cs="宋体"/>
          <w:b/>
          <w:color w:val="auto"/>
          <w:sz w:val="24"/>
          <w:highlight w:val="none"/>
        </w:rPr>
        <w:t>一、磋商内容</w:t>
      </w:r>
    </w:p>
    <w:p w14:paraId="558783AD">
      <w:pPr>
        <w:spacing w:line="360" w:lineRule="auto"/>
        <w:ind w:firstLine="360" w:firstLineChars="150"/>
        <w:jc w:val="left"/>
        <w:rPr>
          <w:rFonts w:hint="eastAsia" w:ascii="宋体" w:hAnsi="宋体"/>
          <w:bCs/>
          <w:color w:val="auto"/>
          <w:sz w:val="24"/>
          <w:highlight w:val="none"/>
        </w:rPr>
      </w:pPr>
      <w:r>
        <w:rPr>
          <w:rFonts w:hint="eastAsia" w:ascii="宋体" w:hAnsi="宋体"/>
          <w:bCs/>
          <w:color w:val="auto"/>
          <w:sz w:val="24"/>
          <w:highlight w:val="none"/>
        </w:rPr>
        <w:t>1.供应商提供的采购标的价格。</w:t>
      </w:r>
    </w:p>
    <w:p w14:paraId="59C4A7AE">
      <w:pPr>
        <w:spacing w:line="360" w:lineRule="auto"/>
        <w:ind w:firstLine="360" w:firstLineChars="150"/>
        <w:jc w:val="left"/>
        <w:rPr>
          <w:rFonts w:hint="eastAsia" w:ascii="宋体" w:hAnsi="宋体"/>
          <w:bCs/>
          <w:color w:val="auto"/>
          <w:sz w:val="24"/>
          <w:highlight w:val="none"/>
        </w:rPr>
      </w:pPr>
      <w:r>
        <w:rPr>
          <w:rFonts w:hint="eastAsia" w:ascii="宋体" w:hAnsi="宋体"/>
          <w:bCs/>
          <w:color w:val="auto"/>
          <w:sz w:val="24"/>
          <w:highlight w:val="none"/>
        </w:rPr>
        <w:t>2.供应商是否</w:t>
      </w:r>
      <w:r>
        <w:rPr>
          <w:rFonts w:hint="eastAsia" w:ascii="宋体" w:hAnsi="宋体" w:cs="宋体"/>
          <w:color w:val="auto"/>
          <w:sz w:val="24"/>
          <w:highlight w:val="none"/>
        </w:rPr>
        <w:t>符合国家相关标准</w:t>
      </w:r>
      <w:r>
        <w:rPr>
          <w:rFonts w:hint="eastAsia" w:ascii="宋体" w:hAnsi="宋体"/>
          <w:bCs/>
          <w:color w:val="auto"/>
          <w:sz w:val="24"/>
          <w:highlight w:val="none"/>
        </w:rPr>
        <w:t>、商务要求等情况。</w:t>
      </w:r>
    </w:p>
    <w:p w14:paraId="33A0F1A4">
      <w:pPr>
        <w:spacing w:line="360" w:lineRule="auto"/>
        <w:ind w:firstLine="360" w:firstLineChars="150"/>
        <w:jc w:val="left"/>
        <w:rPr>
          <w:rFonts w:hint="eastAsia" w:ascii="宋体" w:hAnsi="宋体"/>
          <w:bCs/>
          <w:color w:val="auto"/>
          <w:sz w:val="24"/>
          <w:highlight w:val="none"/>
        </w:rPr>
      </w:pPr>
      <w:r>
        <w:rPr>
          <w:rFonts w:hint="eastAsia" w:ascii="宋体" w:hAnsi="宋体"/>
          <w:bCs/>
          <w:color w:val="auto"/>
          <w:sz w:val="24"/>
          <w:highlight w:val="none"/>
        </w:rPr>
        <w:t>3.合同主要条款及价格商定情况。</w:t>
      </w:r>
    </w:p>
    <w:p w14:paraId="2A47C5F1">
      <w:pPr>
        <w:adjustRightInd w:val="0"/>
        <w:snapToGrid w:val="0"/>
        <w:spacing w:line="360" w:lineRule="auto"/>
        <w:ind w:firstLine="361" w:firstLineChars="150"/>
        <w:jc w:val="left"/>
        <w:rPr>
          <w:rFonts w:hint="eastAsia" w:ascii="宋体" w:hAnsi="宋体" w:cs="宋体"/>
          <w:b/>
          <w:color w:val="auto"/>
          <w:sz w:val="24"/>
          <w:highlight w:val="none"/>
        </w:rPr>
      </w:pPr>
      <w:r>
        <w:rPr>
          <w:rFonts w:hint="eastAsia" w:ascii="宋体" w:hAnsi="宋体" w:cs="宋体"/>
          <w:b/>
          <w:color w:val="auto"/>
          <w:sz w:val="24"/>
          <w:highlight w:val="none"/>
        </w:rPr>
        <w:t>二、磋商过程中可能实质性变动的内容</w:t>
      </w:r>
    </w:p>
    <w:p w14:paraId="5A60958A">
      <w:pPr>
        <w:spacing w:line="360" w:lineRule="auto"/>
        <w:ind w:firstLine="360" w:firstLineChars="150"/>
        <w:jc w:val="left"/>
        <w:rPr>
          <w:rFonts w:hint="eastAsia" w:ascii="宋体" w:hAnsi="宋体"/>
          <w:bCs/>
          <w:color w:val="auto"/>
          <w:sz w:val="24"/>
          <w:highlight w:val="none"/>
        </w:rPr>
      </w:pPr>
      <w:r>
        <w:rPr>
          <w:rFonts w:hint="eastAsia" w:ascii="宋体" w:hAnsi="宋体"/>
          <w:bCs/>
          <w:color w:val="auto"/>
          <w:sz w:val="24"/>
          <w:highlight w:val="none"/>
        </w:rPr>
        <w:t>1、供应商报价。</w:t>
      </w:r>
    </w:p>
    <w:p w14:paraId="11C4AAB5">
      <w:pPr>
        <w:spacing w:line="360" w:lineRule="auto"/>
        <w:ind w:firstLine="360" w:firstLineChars="150"/>
        <w:jc w:val="left"/>
        <w:rPr>
          <w:rFonts w:hint="eastAsia" w:ascii="宋体" w:hAnsi="宋体"/>
          <w:bCs/>
          <w:color w:val="auto"/>
          <w:sz w:val="24"/>
          <w:highlight w:val="none"/>
        </w:rPr>
      </w:pPr>
      <w:r>
        <w:rPr>
          <w:rFonts w:hint="eastAsia" w:ascii="宋体" w:hAnsi="宋体"/>
          <w:bCs/>
          <w:color w:val="auto"/>
          <w:sz w:val="24"/>
          <w:highlight w:val="none"/>
        </w:rPr>
        <w:t>2、采购需求中的技术、商务、服务要求以及合同样例条款等。实质性变动的内容，须经磋商小组中的采购人代表确认。</w:t>
      </w:r>
    </w:p>
    <w:p w14:paraId="63DC9F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150"/>
        <w:jc w:val="center"/>
        <w:textAlignment w:val="auto"/>
        <w:outlineLvl w:val="0"/>
        <w:rPr>
          <w:rFonts w:hint="eastAsia" w:ascii="宋体" w:hAnsi="宋体" w:cs="宋体"/>
          <w:bCs/>
          <w:color w:val="auto"/>
          <w:sz w:val="32"/>
          <w:szCs w:val="32"/>
          <w:highlight w:val="none"/>
        </w:rPr>
      </w:pPr>
      <w:r>
        <w:rPr>
          <w:rFonts w:hint="eastAsia" w:ascii="宋体" w:hAnsi="宋体" w:cs="宋体"/>
          <w:bCs/>
          <w:color w:val="auto"/>
          <w:sz w:val="32"/>
          <w:szCs w:val="32"/>
          <w:highlight w:val="none"/>
        </w:rPr>
        <w:br w:type="page"/>
      </w:r>
      <w:bookmarkEnd w:id="82"/>
      <w:bookmarkEnd w:id="83"/>
      <w:bookmarkEnd w:id="84"/>
      <w:bookmarkEnd w:id="85"/>
      <w:bookmarkStart w:id="86" w:name="_Toc27233"/>
      <w:bookmarkStart w:id="87" w:name="_Toc21450"/>
      <w:bookmarkStart w:id="88" w:name="_Toc12753"/>
      <w:bookmarkStart w:id="89" w:name="_Toc16424"/>
      <w:r>
        <w:rPr>
          <w:rFonts w:hint="eastAsia" w:ascii="宋体" w:hAnsi="宋体" w:cs="宋体"/>
          <w:b/>
          <w:color w:val="auto"/>
          <w:sz w:val="32"/>
          <w:szCs w:val="32"/>
          <w:highlight w:val="none"/>
        </w:rPr>
        <w:t>第八章  响应文件格式</w:t>
      </w:r>
      <w:bookmarkEnd w:id="86"/>
      <w:bookmarkEnd w:id="87"/>
      <w:bookmarkEnd w:id="88"/>
      <w:bookmarkEnd w:id="89"/>
    </w:p>
    <w:p w14:paraId="1B38D842">
      <w:pPr>
        <w:adjustRightInd w:val="0"/>
        <w:snapToGrid w:val="0"/>
        <w:spacing w:line="360" w:lineRule="auto"/>
        <w:ind w:firstLine="360" w:firstLineChars="150"/>
        <w:jc w:val="left"/>
        <w:rPr>
          <w:rFonts w:hint="eastAsia" w:ascii="宋体" w:hAnsi="宋体" w:cs="宋体"/>
          <w:bCs/>
          <w:color w:val="auto"/>
          <w:sz w:val="24"/>
          <w:highlight w:val="none"/>
        </w:rPr>
      </w:pPr>
    </w:p>
    <w:p w14:paraId="3E3556B7">
      <w:pPr>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一、本章所制响应文件格式，除格式中明确将该格式作为实质性要求的，一律不具有强制性。</w:t>
      </w:r>
    </w:p>
    <w:p w14:paraId="66FEA0BE">
      <w:pPr>
        <w:spacing w:line="360" w:lineRule="auto"/>
        <w:ind w:firstLine="360" w:firstLineChars="150"/>
        <w:jc w:val="left"/>
        <w:rPr>
          <w:rFonts w:hint="eastAsia" w:ascii="宋体" w:hAnsi="宋体" w:cs="宋体"/>
          <w:bCs/>
          <w:color w:val="auto"/>
          <w:sz w:val="24"/>
          <w:highlight w:val="none"/>
        </w:rPr>
      </w:pPr>
      <w:r>
        <w:rPr>
          <w:rFonts w:hint="eastAsia" w:ascii="宋体" w:hAnsi="宋体" w:cs="宋体"/>
          <w:bCs/>
          <w:color w:val="auto"/>
          <w:sz w:val="24"/>
          <w:highlight w:val="none"/>
        </w:rPr>
        <w:t>二、本章所制响应文件格式有关表格中的备注栏，由供应商根据自身响应情况作解释性说明，不作为必填项。（如果供应商响应文件中已经去掉备注而无其他解释性说明，则视为完全理解并同意备注中的要求）。</w:t>
      </w:r>
    </w:p>
    <w:p w14:paraId="39151F4D">
      <w:pPr>
        <w:spacing w:line="360" w:lineRule="auto"/>
        <w:ind w:firstLine="360" w:firstLineChars="150"/>
        <w:jc w:val="left"/>
        <w:rPr>
          <w:rFonts w:hint="eastAsia" w:ascii="宋体" w:hAnsi="宋体" w:cs="宋体"/>
          <w:color w:val="auto"/>
          <w:highlight w:val="none"/>
        </w:rPr>
      </w:pPr>
      <w:r>
        <w:rPr>
          <w:rFonts w:hint="eastAsia" w:ascii="宋体" w:hAnsi="宋体" w:cs="宋体"/>
          <w:bCs/>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0AF3469B">
      <w:pPr>
        <w:pStyle w:val="5"/>
        <w:tabs>
          <w:tab w:val="left" w:pos="709"/>
        </w:tabs>
        <w:jc w:val="center"/>
        <w:rPr>
          <w:color w:val="auto"/>
        </w:rPr>
      </w:pPr>
      <w:r>
        <w:rPr>
          <w:rFonts w:hint="eastAsia" w:ascii="宋体" w:hAnsi="宋体" w:cs="宋体"/>
          <w:b w:val="0"/>
          <w:color w:val="auto"/>
          <w:sz w:val="32"/>
          <w:szCs w:val="32"/>
          <w:highlight w:val="none"/>
        </w:rPr>
        <w:br w:type="page"/>
      </w:r>
      <w:r>
        <w:rPr>
          <w:rFonts w:hint="eastAsia" w:ascii="宋体" w:hAnsi="宋体" w:cs="宋体"/>
          <w:b w:val="0"/>
          <w:color w:val="auto"/>
          <w:sz w:val="32"/>
          <w:szCs w:val="32"/>
          <w:highlight w:val="none"/>
          <w:lang w:val="en-US" w:eastAsia="zh-CN"/>
        </w:rPr>
        <w:t>一、</w:t>
      </w:r>
      <w:r>
        <w:rPr>
          <w:rFonts w:hint="eastAsia" w:cs="宋体"/>
          <w:color w:val="auto"/>
        </w:rPr>
        <w:t>法定代表人身份证明书</w:t>
      </w:r>
    </w:p>
    <w:p w14:paraId="466FB76F">
      <w:pPr>
        <w:rPr>
          <w:color w:val="auto"/>
        </w:rPr>
      </w:pPr>
    </w:p>
    <w:p w14:paraId="526638DF">
      <w:pPr>
        <w:tabs>
          <w:tab w:val="left" w:pos="6300"/>
        </w:tabs>
        <w:spacing w:line="360" w:lineRule="auto"/>
        <w:ind w:firstLine="573"/>
        <w:rPr>
          <w:rFonts w:ascii="宋体"/>
          <w:color w:val="auto"/>
          <w:sz w:val="24"/>
          <w:szCs w:val="24"/>
          <w:lang w:val="zh-CN"/>
        </w:rPr>
      </w:pPr>
      <w:r>
        <w:rPr>
          <w:rFonts w:hint="eastAsia" w:ascii="宋体" w:hAnsi="宋体" w:cs="宋体"/>
          <w:color w:val="auto"/>
          <w:sz w:val="24"/>
          <w:szCs w:val="24"/>
          <w:u w:val="single"/>
          <w:lang w:val="zh-CN"/>
        </w:rPr>
        <w:t>（法定代表人姓名）</w:t>
      </w:r>
      <w:r>
        <w:rPr>
          <w:rFonts w:hint="eastAsia" w:ascii="宋体" w:hAnsi="宋体" w:cs="宋体"/>
          <w:color w:val="auto"/>
          <w:sz w:val="24"/>
          <w:szCs w:val="24"/>
          <w:lang w:val="zh-CN"/>
        </w:rPr>
        <w:t>在</w:t>
      </w:r>
      <w:r>
        <w:rPr>
          <w:rFonts w:hint="eastAsia" w:ascii="宋体" w:hAnsi="宋体" w:cs="宋体"/>
          <w:color w:val="auto"/>
          <w:sz w:val="24"/>
          <w:szCs w:val="24"/>
          <w:u w:val="single"/>
          <w:lang w:val="zh-CN"/>
        </w:rPr>
        <w:t>（供应商名称）</w:t>
      </w:r>
      <w:r>
        <w:rPr>
          <w:rFonts w:hint="eastAsia" w:ascii="宋体" w:hAnsi="宋体" w:cs="宋体"/>
          <w:color w:val="auto"/>
          <w:sz w:val="24"/>
          <w:szCs w:val="24"/>
          <w:lang w:val="zh-CN"/>
        </w:rPr>
        <w:t>处任</w:t>
      </w:r>
      <w:r>
        <w:rPr>
          <w:rFonts w:hint="eastAsia" w:ascii="宋体" w:hAnsi="宋体" w:cs="宋体"/>
          <w:color w:val="auto"/>
          <w:sz w:val="24"/>
          <w:szCs w:val="24"/>
          <w:u w:val="single"/>
          <w:lang w:val="zh-CN"/>
        </w:rPr>
        <w:t>（职务名称）</w:t>
      </w:r>
      <w:r>
        <w:rPr>
          <w:rFonts w:hint="eastAsia" w:ascii="宋体" w:hAnsi="宋体" w:cs="宋体"/>
          <w:color w:val="auto"/>
          <w:sz w:val="24"/>
          <w:szCs w:val="24"/>
          <w:lang w:val="zh-CN"/>
        </w:rPr>
        <w:t>职务，是</w:t>
      </w:r>
      <w:r>
        <w:rPr>
          <w:rFonts w:hint="eastAsia" w:ascii="宋体" w:hAnsi="宋体" w:cs="宋体"/>
          <w:color w:val="auto"/>
          <w:sz w:val="24"/>
          <w:szCs w:val="24"/>
          <w:u w:val="single"/>
          <w:lang w:val="zh-CN"/>
        </w:rPr>
        <w:t>（供应商名称）</w:t>
      </w:r>
      <w:r>
        <w:rPr>
          <w:rFonts w:hint="eastAsia" w:ascii="宋体" w:hAnsi="宋体" w:cs="宋体"/>
          <w:color w:val="auto"/>
          <w:sz w:val="24"/>
          <w:szCs w:val="24"/>
          <w:lang w:val="zh-CN"/>
        </w:rPr>
        <w:t>的法定代表人。</w:t>
      </w:r>
    </w:p>
    <w:p w14:paraId="6C27EB58">
      <w:pPr>
        <w:tabs>
          <w:tab w:val="left" w:pos="6300"/>
        </w:tabs>
        <w:spacing w:line="360" w:lineRule="auto"/>
        <w:ind w:firstLine="573"/>
        <w:rPr>
          <w:rFonts w:ascii="宋体"/>
          <w:color w:val="auto"/>
          <w:sz w:val="24"/>
          <w:szCs w:val="24"/>
          <w:lang w:val="zh-CN"/>
        </w:rPr>
      </w:pPr>
      <w:r>
        <w:rPr>
          <w:rFonts w:hint="eastAsia" w:ascii="宋体" w:hAnsi="宋体" w:cs="宋体"/>
          <w:color w:val="auto"/>
          <w:sz w:val="24"/>
          <w:szCs w:val="24"/>
          <w:lang w:val="zh-CN"/>
        </w:rPr>
        <w:t>特此证明。</w:t>
      </w:r>
    </w:p>
    <w:p w14:paraId="06CCA59B">
      <w:pPr>
        <w:tabs>
          <w:tab w:val="left" w:pos="6300"/>
        </w:tabs>
        <w:spacing w:line="360" w:lineRule="auto"/>
        <w:ind w:firstLine="573"/>
        <w:rPr>
          <w:rFonts w:ascii="宋体"/>
          <w:color w:val="auto"/>
          <w:sz w:val="24"/>
          <w:szCs w:val="24"/>
          <w:lang w:val="zh-CN"/>
        </w:rPr>
      </w:pPr>
    </w:p>
    <w:p w14:paraId="55416829">
      <w:pPr>
        <w:tabs>
          <w:tab w:val="left" w:pos="6300"/>
        </w:tabs>
        <w:spacing w:line="360" w:lineRule="auto"/>
        <w:ind w:firstLine="573"/>
        <w:rPr>
          <w:rFonts w:ascii="宋体"/>
          <w:color w:val="auto"/>
          <w:sz w:val="24"/>
          <w:szCs w:val="24"/>
          <w:lang w:val="zh-CN"/>
        </w:rPr>
      </w:pPr>
    </w:p>
    <w:p w14:paraId="2EBD2ACD">
      <w:pPr>
        <w:tabs>
          <w:tab w:val="left" w:pos="6300"/>
        </w:tabs>
        <w:spacing w:line="360" w:lineRule="auto"/>
        <w:ind w:firstLine="573"/>
        <w:rPr>
          <w:rFonts w:ascii="宋体"/>
          <w:color w:val="auto"/>
          <w:sz w:val="24"/>
          <w:szCs w:val="24"/>
          <w:lang w:val="zh-CN"/>
        </w:rPr>
      </w:pPr>
    </w:p>
    <w:p w14:paraId="0892515E">
      <w:pPr>
        <w:wordWrap w:val="0"/>
        <w:spacing w:line="360" w:lineRule="auto"/>
        <w:jc w:val="right"/>
        <w:rPr>
          <w:rFonts w:ascii="宋体"/>
          <w:color w:val="auto"/>
          <w:sz w:val="24"/>
          <w:szCs w:val="24"/>
        </w:rPr>
      </w:pPr>
      <w:r>
        <w:rPr>
          <w:rFonts w:hint="eastAsia" w:ascii="宋体" w:hAnsi="宋体" w:cs="宋体"/>
          <w:color w:val="auto"/>
          <w:sz w:val="24"/>
          <w:szCs w:val="24"/>
          <w:lang w:val="zh-CN"/>
        </w:rPr>
        <w:t>供应商名称：</w:t>
      </w:r>
      <w:r>
        <w:rPr>
          <w:rFonts w:ascii="宋体" w:hAnsi="宋体" w:cs="宋体"/>
          <w:color w:val="auto"/>
          <w:sz w:val="24"/>
          <w:szCs w:val="24"/>
          <w:u w:val="single"/>
          <w:lang w:val="zh-CN"/>
        </w:rPr>
        <w:t>XXXX</w:t>
      </w:r>
      <w:r>
        <w:rPr>
          <w:rFonts w:hint="eastAsia" w:ascii="宋体" w:hAnsi="宋体" w:cs="宋体"/>
          <w:color w:val="auto"/>
          <w:sz w:val="24"/>
          <w:szCs w:val="24"/>
          <w:lang w:val="zh-CN"/>
        </w:rPr>
        <w:t>（加盖公章）</w:t>
      </w:r>
    </w:p>
    <w:p w14:paraId="200DC50D">
      <w:pPr>
        <w:spacing w:line="500" w:lineRule="exact"/>
        <w:ind w:right="560"/>
        <w:jc w:val="right"/>
        <w:rPr>
          <w:rFonts w:ascii="宋体"/>
          <w:color w:val="auto"/>
          <w:sz w:val="24"/>
          <w:szCs w:val="24"/>
        </w:rPr>
      </w:pPr>
      <w:r>
        <w:rPr>
          <w:rFonts w:hint="eastAsia" w:ascii="宋体" w:hAnsi="宋体" w:cs="宋体"/>
          <w:color w:val="auto"/>
          <w:sz w:val="24"/>
          <w:szCs w:val="24"/>
        </w:rPr>
        <w:t>日期：</w:t>
      </w:r>
      <w:r>
        <w:rPr>
          <w:rFonts w:ascii="宋体" w:hAnsi="宋体" w:cs="宋体"/>
          <w:color w:val="auto"/>
          <w:sz w:val="24"/>
          <w:szCs w:val="24"/>
          <w:u w:val="single"/>
        </w:rPr>
        <w:t>XX</w:t>
      </w:r>
      <w:r>
        <w:rPr>
          <w:rFonts w:hint="eastAsia" w:ascii="宋体" w:hAnsi="宋体" w:cs="宋体"/>
          <w:color w:val="auto"/>
          <w:sz w:val="24"/>
          <w:szCs w:val="24"/>
        </w:rPr>
        <w:t>年</w:t>
      </w:r>
      <w:r>
        <w:rPr>
          <w:rFonts w:ascii="宋体" w:hAnsi="宋体" w:cs="宋体"/>
          <w:color w:val="auto"/>
          <w:sz w:val="24"/>
          <w:szCs w:val="24"/>
          <w:u w:val="single"/>
        </w:rPr>
        <w:t>XX</w:t>
      </w:r>
      <w:r>
        <w:rPr>
          <w:rFonts w:hint="eastAsia" w:ascii="宋体" w:hAnsi="宋体" w:cs="宋体"/>
          <w:color w:val="auto"/>
          <w:sz w:val="24"/>
          <w:szCs w:val="24"/>
        </w:rPr>
        <w:t>月</w:t>
      </w:r>
      <w:r>
        <w:rPr>
          <w:rFonts w:ascii="宋体" w:hAnsi="宋体" w:cs="宋体"/>
          <w:color w:val="auto"/>
          <w:sz w:val="24"/>
          <w:szCs w:val="24"/>
          <w:u w:val="single"/>
        </w:rPr>
        <w:t>XX</w:t>
      </w:r>
      <w:r>
        <w:rPr>
          <w:rFonts w:hint="eastAsia" w:ascii="宋体" w:hAnsi="宋体" w:cs="宋体"/>
          <w:color w:val="auto"/>
          <w:sz w:val="24"/>
          <w:szCs w:val="24"/>
        </w:rPr>
        <w:t>日</w:t>
      </w:r>
    </w:p>
    <w:p w14:paraId="6A9CF2A0">
      <w:pPr>
        <w:spacing w:line="500" w:lineRule="exact"/>
        <w:ind w:right="560"/>
        <w:jc w:val="right"/>
        <w:rPr>
          <w:rFonts w:ascii="宋体"/>
          <w:color w:val="auto"/>
          <w:sz w:val="24"/>
          <w:szCs w:val="24"/>
        </w:rPr>
      </w:pPr>
    </w:p>
    <w:p w14:paraId="7E382276">
      <w:pPr>
        <w:spacing w:line="500" w:lineRule="exact"/>
        <w:ind w:right="560"/>
        <w:jc w:val="right"/>
        <w:rPr>
          <w:rFonts w:ascii="宋体"/>
          <w:color w:val="auto"/>
          <w:sz w:val="24"/>
          <w:szCs w:val="24"/>
        </w:rPr>
      </w:pPr>
    </w:p>
    <w:p w14:paraId="76027BA4">
      <w:pPr>
        <w:spacing w:line="360"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附：法定代表人、授权代表身份证复印件加盖公司鲜章。</w:t>
      </w:r>
    </w:p>
    <w:p w14:paraId="247F0FBF">
      <w:pPr>
        <w:spacing w:line="360" w:lineRule="auto"/>
        <w:ind w:firstLine="360" w:firstLineChars="150"/>
        <w:jc w:val="left"/>
        <w:rPr>
          <w:rFonts w:hint="eastAsia" w:ascii="宋体" w:hAnsi="宋体" w:eastAsia="宋体" w:cs="宋体"/>
          <w:color w:val="auto"/>
          <w:sz w:val="24"/>
          <w:highlight w:val="none"/>
        </w:rPr>
      </w:pPr>
    </w:p>
    <w:p w14:paraId="2F6A4098">
      <w:pPr>
        <w:spacing w:line="360" w:lineRule="auto"/>
        <w:ind w:firstLine="360" w:firstLineChars="150"/>
        <w:jc w:val="lef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en-US" w:eastAsia="zh-CN"/>
        </w:rPr>
        <w:t>注</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lang w:val="en-US" w:eastAsia="zh-CN"/>
        </w:rPr>
        <w:t>供应商法定代表人亲自参加磋商时适用</w:t>
      </w:r>
      <w:r>
        <w:rPr>
          <w:rFonts w:hint="eastAsia" w:ascii="宋体" w:hAnsi="宋体" w:eastAsia="宋体" w:cs="宋体"/>
          <w:color w:val="auto"/>
          <w:sz w:val="24"/>
          <w:highlight w:val="none"/>
          <w:lang w:val="zh-CN"/>
        </w:rPr>
        <w:t>。</w:t>
      </w:r>
    </w:p>
    <w:p w14:paraId="2A761529">
      <w:pPr>
        <w:spacing w:line="360" w:lineRule="auto"/>
        <w:ind w:firstLine="480" w:firstLineChars="150"/>
        <w:jc w:val="left"/>
        <w:rPr>
          <w:rFonts w:hint="eastAsia" w:ascii="宋体" w:hAnsi="宋体" w:cs="宋体"/>
          <w:color w:val="auto"/>
          <w:sz w:val="32"/>
          <w:highlight w:val="none"/>
        </w:rPr>
      </w:pPr>
    </w:p>
    <w:p w14:paraId="51145066">
      <w:pPr>
        <w:spacing w:line="360" w:lineRule="auto"/>
        <w:ind w:firstLine="480" w:firstLineChars="150"/>
        <w:jc w:val="left"/>
        <w:rPr>
          <w:rFonts w:hint="eastAsia" w:ascii="宋体" w:hAnsi="宋体" w:cs="宋体"/>
          <w:color w:val="auto"/>
          <w:sz w:val="32"/>
          <w:highlight w:val="none"/>
        </w:rPr>
      </w:pPr>
    </w:p>
    <w:p w14:paraId="53793D5E">
      <w:pPr>
        <w:spacing w:line="360" w:lineRule="auto"/>
        <w:ind w:firstLine="482" w:firstLineChars="150"/>
        <w:jc w:val="left"/>
        <w:rPr>
          <w:rFonts w:hint="eastAsia" w:ascii="宋体" w:hAnsi="宋体" w:cs="宋体"/>
          <w:b/>
          <w:color w:val="auto"/>
          <w:sz w:val="32"/>
          <w:szCs w:val="32"/>
          <w:highlight w:val="none"/>
        </w:rPr>
      </w:pPr>
    </w:p>
    <w:p w14:paraId="57ECA07E">
      <w:pPr>
        <w:pStyle w:val="11"/>
        <w:rPr>
          <w:rFonts w:hint="eastAsia" w:ascii="宋体" w:hAnsi="宋体" w:cs="宋体"/>
          <w:b/>
          <w:color w:val="auto"/>
          <w:sz w:val="32"/>
          <w:szCs w:val="32"/>
          <w:highlight w:val="none"/>
        </w:rPr>
      </w:pPr>
    </w:p>
    <w:p w14:paraId="601EB316">
      <w:pPr>
        <w:rPr>
          <w:rFonts w:hint="eastAsia" w:ascii="宋体" w:hAnsi="宋体" w:cs="宋体"/>
          <w:b/>
          <w:color w:val="auto"/>
          <w:sz w:val="32"/>
          <w:szCs w:val="32"/>
          <w:highlight w:val="none"/>
        </w:rPr>
      </w:pPr>
    </w:p>
    <w:p w14:paraId="0E906976">
      <w:pPr>
        <w:pStyle w:val="11"/>
        <w:rPr>
          <w:rFonts w:hint="eastAsia" w:ascii="宋体" w:hAnsi="宋体" w:cs="宋体"/>
          <w:b/>
          <w:color w:val="auto"/>
          <w:sz w:val="32"/>
          <w:szCs w:val="32"/>
          <w:highlight w:val="none"/>
        </w:rPr>
      </w:pPr>
    </w:p>
    <w:p w14:paraId="559E1FEB">
      <w:pPr>
        <w:rPr>
          <w:rFonts w:hint="eastAsia" w:ascii="宋体" w:hAnsi="宋体" w:cs="宋体"/>
          <w:b/>
          <w:color w:val="auto"/>
          <w:sz w:val="32"/>
          <w:szCs w:val="32"/>
          <w:highlight w:val="none"/>
        </w:rPr>
      </w:pPr>
    </w:p>
    <w:p w14:paraId="10F54C72">
      <w:pPr>
        <w:spacing w:line="360" w:lineRule="auto"/>
        <w:jc w:val="center"/>
        <w:rPr>
          <w:rFonts w:hint="eastAsia" w:ascii="宋体" w:hAnsi="宋体" w:cs="宋体"/>
          <w:b/>
          <w:color w:val="auto"/>
          <w:sz w:val="32"/>
          <w:szCs w:val="32"/>
          <w:highlight w:val="none"/>
        </w:rPr>
      </w:pPr>
      <w:r>
        <w:rPr>
          <w:rFonts w:hint="eastAsia"/>
          <w:color w:val="auto"/>
          <w:highlight w:val="none"/>
        </w:rPr>
        <w:br w:type="page"/>
      </w:r>
      <w:r>
        <w:rPr>
          <w:rFonts w:hint="eastAsia" w:ascii="宋体" w:hAnsi="宋体" w:eastAsia="宋体" w:cs="宋体"/>
          <w:b/>
          <w:color w:val="auto"/>
          <w:sz w:val="32"/>
          <w:szCs w:val="32"/>
          <w:highlight w:val="none"/>
          <w:lang w:eastAsia="zh-CN"/>
        </w:rPr>
        <w:t>二</w:t>
      </w: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rPr>
        <w:t>法定代表人授权书</w:t>
      </w:r>
    </w:p>
    <w:p w14:paraId="302CF3B2">
      <w:pPr>
        <w:spacing w:line="360" w:lineRule="auto"/>
        <w:ind w:firstLine="360" w:firstLineChars="150"/>
        <w:jc w:val="left"/>
        <w:rPr>
          <w:rFonts w:hint="eastAsia" w:ascii="宋体" w:hAnsi="宋体" w:cs="宋体"/>
          <w:color w:val="auto"/>
          <w:sz w:val="24"/>
          <w:highlight w:val="none"/>
        </w:rPr>
      </w:pPr>
    </w:p>
    <w:p w14:paraId="70E0E10F">
      <w:pPr>
        <w:spacing w:line="360" w:lineRule="auto"/>
        <w:jc w:val="left"/>
        <w:rPr>
          <w:rFonts w:hint="eastAsia" w:ascii="宋体" w:hAnsi="宋体" w:cs="宋体"/>
          <w:color w:val="auto"/>
          <w:sz w:val="24"/>
          <w:highlight w:val="none"/>
        </w:rPr>
      </w:pPr>
      <w:r>
        <w:rPr>
          <w:rFonts w:hint="eastAsia" w:ascii="宋体" w:hAnsi="宋体" w:cs="宋体"/>
          <w:color w:val="auto"/>
          <w:sz w:val="24"/>
          <w:highlight w:val="none"/>
          <w:lang w:val="en-US" w:eastAsia="zh-CN"/>
        </w:rPr>
        <w:t>四川信息职业技术学院</w:t>
      </w:r>
      <w:r>
        <w:rPr>
          <w:rFonts w:hint="eastAsia" w:ascii="宋体" w:hAnsi="宋体" w:cs="宋体"/>
          <w:color w:val="auto"/>
          <w:sz w:val="24"/>
          <w:highlight w:val="none"/>
        </w:rPr>
        <w:t>：</w:t>
      </w:r>
    </w:p>
    <w:p w14:paraId="4070ED32">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本授权声明：XXX（单位名称）,XXX（法定代表人姓名）授权XXX（被授权人姓名）为我方参加</w:t>
      </w:r>
      <w:r>
        <w:rPr>
          <w:rFonts w:hint="eastAsia" w:ascii="宋体" w:hAnsi="宋体" w:cs="宋体"/>
          <w:color w:val="auto"/>
          <w:sz w:val="24"/>
          <w:highlight w:val="none"/>
          <w:u w:val="single"/>
        </w:rPr>
        <w:t>XXX</w:t>
      </w:r>
      <w:r>
        <w:rPr>
          <w:rFonts w:hint="eastAsia" w:ascii="宋体" w:hAnsi="宋体" w:cs="宋体"/>
          <w:color w:val="auto"/>
          <w:sz w:val="24"/>
          <w:highlight w:val="none"/>
        </w:rPr>
        <w:t>项目（项目编号：XXX）磋商采购活动的合法代表，以我方名义全权处理该项目有关磋商、报价、签订合同以及执行合同等一切事宜。</w:t>
      </w:r>
    </w:p>
    <w:p w14:paraId="485911F3">
      <w:pPr>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特此声明。</w:t>
      </w:r>
    </w:p>
    <w:p w14:paraId="53EEAF85">
      <w:pPr>
        <w:spacing w:line="360" w:lineRule="auto"/>
        <w:ind w:firstLine="360" w:firstLineChars="150"/>
        <w:jc w:val="left"/>
        <w:rPr>
          <w:rFonts w:hint="eastAsia" w:ascii="宋体" w:hAnsi="宋体" w:cs="宋体"/>
          <w:color w:val="auto"/>
          <w:sz w:val="24"/>
          <w:highlight w:val="none"/>
        </w:rPr>
      </w:pPr>
    </w:p>
    <w:p w14:paraId="056AAD39">
      <w:pPr>
        <w:spacing w:line="360" w:lineRule="auto"/>
        <w:ind w:firstLine="360" w:firstLineChars="150"/>
        <w:jc w:val="left"/>
        <w:rPr>
          <w:rFonts w:hint="eastAsia" w:ascii="宋体" w:hAnsi="宋体" w:cs="宋体"/>
          <w:color w:val="auto"/>
          <w:sz w:val="24"/>
          <w:highlight w:val="none"/>
        </w:rPr>
      </w:pPr>
    </w:p>
    <w:p w14:paraId="1B4C9182">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供应商名称：XXX（盖单位公章）</w:t>
      </w:r>
    </w:p>
    <w:p w14:paraId="13EAB56C">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法定代表人（签字或盖章）：XXX</w:t>
      </w:r>
    </w:p>
    <w:p w14:paraId="2E55B661">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被授权人签字：XXX</w:t>
      </w:r>
    </w:p>
    <w:p w14:paraId="1B3CF321">
      <w:pPr>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日    期：XXX年XXX月XXX日</w:t>
      </w:r>
    </w:p>
    <w:p w14:paraId="4A885675">
      <w:pPr>
        <w:spacing w:line="360" w:lineRule="auto"/>
        <w:ind w:firstLine="360" w:firstLineChars="150"/>
        <w:jc w:val="left"/>
        <w:rPr>
          <w:rFonts w:hint="eastAsia" w:ascii="宋体" w:hAnsi="宋体" w:cs="宋体"/>
          <w:color w:val="auto"/>
          <w:sz w:val="24"/>
          <w:highlight w:val="none"/>
        </w:rPr>
      </w:pPr>
    </w:p>
    <w:p w14:paraId="79F151EB">
      <w:pPr>
        <w:spacing w:line="360" w:lineRule="auto"/>
        <w:ind w:firstLine="361" w:firstLineChars="150"/>
        <w:jc w:val="left"/>
        <w:rPr>
          <w:rFonts w:hint="eastAsia" w:ascii="宋体" w:hAnsi="宋体" w:cs="宋体"/>
          <w:color w:val="auto"/>
          <w:sz w:val="24"/>
          <w:highlight w:val="none"/>
        </w:rPr>
      </w:pPr>
      <w:r>
        <w:rPr>
          <w:rFonts w:hint="eastAsia" w:ascii="宋体" w:hAnsi="宋体" w:cs="宋体"/>
          <w:b/>
          <w:bCs/>
          <w:color w:val="auto"/>
          <w:sz w:val="24"/>
          <w:highlight w:val="none"/>
        </w:rPr>
        <w:t>附：</w:t>
      </w:r>
      <w:r>
        <w:rPr>
          <w:rFonts w:hint="eastAsia" w:ascii="宋体" w:hAnsi="宋体" w:cs="宋体"/>
          <w:color w:val="auto"/>
          <w:sz w:val="24"/>
          <w:highlight w:val="none"/>
        </w:rPr>
        <w:t>法定代表人、授权代表身份证复印件加盖公司鲜章。</w:t>
      </w:r>
    </w:p>
    <w:p w14:paraId="3CC9E8ED">
      <w:pPr>
        <w:spacing w:line="360" w:lineRule="auto"/>
        <w:ind w:firstLine="360" w:firstLineChars="150"/>
        <w:jc w:val="left"/>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en-US" w:eastAsia="zh-CN"/>
        </w:rPr>
        <w:t>注</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lang w:val="en-US" w:eastAsia="zh-CN"/>
        </w:rPr>
        <w:t>供应商授权代表参加磋商时适用</w:t>
      </w:r>
      <w:r>
        <w:rPr>
          <w:rFonts w:hint="eastAsia" w:ascii="宋体" w:hAnsi="宋体" w:eastAsia="宋体" w:cs="宋体"/>
          <w:color w:val="auto"/>
          <w:sz w:val="24"/>
          <w:highlight w:val="none"/>
          <w:lang w:val="zh-CN"/>
        </w:rPr>
        <w:t>。</w:t>
      </w:r>
    </w:p>
    <w:p w14:paraId="10E35D0E">
      <w:pPr>
        <w:pStyle w:val="11"/>
        <w:jc w:val="center"/>
        <w:rPr>
          <w:rFonts w:hint="eastAsia" w:ascii="宋体" w:hAnsi="宋体" w:cs="Arial"/>
          <w:b/>
          <w:bCs/>
          <w:color w:val="auto"/>
          <w:sz w:val="32"/>
          <w:szCs w:val="32"/>
          <w:highlight w:val="none"/>
        </w:rPr>
      </w:pPr>
      <w:r>
        <w:rPr>
          <w:rFonts w:hint="eastAsia"/>
          <w:color w:val="auto"/>
          <w:highlight w:val="none"/>
        </w:rPr>
        <w:br w:type="page"/>
      </w:r>
      <w:r>
        <w:rPr>
          <w:rFonts w:hint="eastAsia" w:ascii="宋体" w:hAnsi="宋体" w:cs="Arial"/>
          <w:b/>
          <w:bCs/>
          <w:color w:val="auto"/>
          <w:sz w:val="32"/>
          <w:szCs w:val="32"/>
          <w:highlight w:val="none"/>
          <w:lang w:eastAsia="zh-CN"/>
        </w:rPr>
        <w:t>三</w:t>
      </w:r>
      <w:r>
        <w:rPr>
          <w:rFonts w:hint="eastAsia" w:ascii="宋体" w:hAnsi="宋体" w:cs="Arial"/>
          <w:b/>
          <w:bCs/>
          <w:color w:val="auto"/>
          <w:sz w:val="32"/>
          <w:szCs w:val="32"/>
          <w:highlight w:val="none"/>
        </w:rPr>
        <w:t>、供应商基本情况表</w:t>
      </w:r>
    </w:p>
    <w:p w14:paraId="703D45AA">
      <w:pPr>
        <w:jc w:val="center"/>
        <w:rPr>
          <w:rFonts w:hint="eastAsia" w:ascii="宋体" w:hAnsi="宋体" w:cs="Arial"/>
          <w:b/>
          <w:bCs/>
          <w:color w:val="auto"/>
          <w:sz w:val="32"/>
          <w:szCs w:val="32"/>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04C3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14:paraId="1670421A">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供应商名称</w:t>
            </w:r>
          </w:p>
        </w:tc>
        <w:tc>
          <w:tcPr>
            <w:tcW w:w="7560" w:type="dxa"/>
            <w:gridSpan w:val="11"/>
            <w:noWrap w:val="0"/>
            <w:vAlign w:val="center"/>
          </w:tcPr>
          <w:p w14:paraId="188D36A7">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0D56B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14:paraId="7F58DF94">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注册地址</w:t>
            </w:r>
          </w:p>
        </w:tc>
        <w:tc>
          <w:tcPr>
            <w:tcW w:w="4680" w:type="dxa"/>
            <w:gridSpan w:val="6"/>
            <w:noWrap w:val="0"/>
            <w:vAlign w:val="center"/>
          </w:tcPr>
          <w:p w14:paraId="53F71161">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gridSpan w:val="3"/>
            <w:noWrap w:val="0"/>
            <w:vAlign w:val="center"/>
          </w:tcPr>
          <w:p w14:paraId="748149D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邮政编码</w:t>
            </w:r>
          </w:p>
        </w:tc>
        <w:tc>
          <w:tcPr>
            <w:tcW w:w="1620" w:type="dxa"/>
            <w:gridSpan w:val="2"/>
            <w:noWrap w:val="0"/>
            <w:vAlign w:val="center"/>
          </w:tcPr>
          <w:p w14:paraId="269519E9">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48EB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14:paraId="47FEBAC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联系方式</w:t>
            </w:r>
          </w:p>
        </w:tc>
        <w:tc>
          <w:tcPr>
            <w:tcW w:w="1080" w:type="dxa"/>
            <w:noWrap w:val="0"/>
            <w:vAlign w:val="center"/>
          </w:tcPr>
          <w:p w14:paraId="5A3A6A4E">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联系人</w:t>
            </w:r>
          </w:p>
        </w:tc>
        <w:tc>
          <w:tcPr>
            <w:tcW w:w="3600" w:type="dxa"/>
            <w:gridSpan w:val="5"/>
            <w:noWrap w:val="0"/>
            <w:vAlign w:val="center"/>
          </w:tcPr>
          <w:p w14:paraId="4443417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gridSpan w:val="3"/>
            <w:noWrap w:val="0"/>
            <w:vAlign w:val="center"/>
          </w:tcPr>
          <w:p w14:paraId="3A89C9F8">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620" w:type="dxa"/>
            <w:gridSpan w:val="2"/>
            <w:noWrap w:val="0"/>
            <w:vAlign w:val="center"/>
          </w:tcPr>
          <w:p w14:paraId="30FD3B88">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5710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14:paraId="47F19429">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080" w:type="dxa"/>
            <w:noWrap w:val="0"/>
            <w:vAlign w:val="center"/>
          </w:tcPr>
          <w:p w14:paraId="279AEA5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传真</w:t>
            </w:r>
          </w:p>
        </w:tc>
        <w:tc>
          <w:tcPr>
            <w:tcW w:w="3600" w:type="dxa"/>
            <w:gridSpan w:val="5"/>
            <w:noWrap w:val="0"/>
            <w:vAlign w:val="center"/>
          </w:tcPr>
          <w:p w14:paraId="048879E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gridSpan w:val="3"/>
            <w:noWrap w:val="0"/>
            <w:vAlign w:val="center"/>
          </w:tcPr>
          <w:p w14:paraId="1289DD2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网址</w:t>
            </w:r>
          </w:p>
        </w:tc>
        <w:tc>
          <w:tcPr>
            <w:tcW w:w="1620" w:type="dxa"/>
            <w:gridSpan w:val="2"/>
            <w:noWrap w:val="0"/>
            <w:vAlign w:val="center"/>
          </w:tcPr>
          <w:p w14:paraId="2DD52336">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7017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14:paraId="2E22E481">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组织结构</w:t>
            </w:r>
          </w:p>
        </w:tc>
        <w:tc>
          <w:tcPr>
            <w:tcW w:w="7560" w:type="dxa"/>
            <w:gridSpan w:val="11"/>
            <w:noWrap w:val="0"/>
            <w:vAlign w:val="center"/>
          </w:tcPr>
          <w:p w14:paraId="29BC59CD">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0110B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14:paraId="59EAF6DA">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法定代表人</w:t>
            </w:r>
          </w:p>
        </w:tc>
        <w:tc>
          <w:tcPr>
            <w:tcW w:w="1260" w:type="dxa"/>
            <w:gridSpan w:val="2"/>
            <w:noWrap w:val="0"/>
            <w:vAlign w:val="center"/>
          </w:tcPr>
          <w:p w14:paraId="5411000D">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1260" w:type="dxa"/>
            <w:noWrap w:val="0"/>
            <w:vAlign w:val="center"/>
          </w:tcPr>
          <w:p w14:paraId="58B506EE">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noWrap w:val="0"/>
            <w:vAlign w:val="center"/>
          </w:tcPr>
          <w:p w14:paraId="2660025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技术职称</w:t>
            </w:r>
          </w:p>
        </w:tc>
        <w:tc>
          <w:tcPr>
            <w:tcW w:w="1260" w:type="dxa"/>
            <w:gridSpan w:val="3"/>
            <w:noWrap w:val="0"/>
            <w:vAlign w:val="center"/>
          </w:tcPr>
          <w:p w14:paraId="74DB894A">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gridSpan w:val="3"/>
            <w:noWrap w:val="0"/>
            <w:vAlign w:val="center"/>
          </w:tcPr>
          <w:p w14:paraId="71C99940">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260" w:type="dxa"/>
            <w:noWrap w:val="0"/>
            <w:vAlign w:val="center"/>
          </w:tcPr>
          <w:p w14:paraId="27D3222D">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36DD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14:paraId="220415EC">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技术负责人</w:t>
            </w:r>
          </w:p>
        </w:tc>
        <w:tc>
          <w:tcPr>
            <w:tcW w:w="1260" w:type="dxa"/>
            <w:gridSpan w:val="2"/>
            <w:noWrap w:val="0"/>
            <w:vAlign w:val="center"/>
          </w:tcPr>
          <w:p w14:paraId="62FAC56B">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姓名</w:t>
            </w:r>
          </w:p>
        </w:tc>
        <w:tc>
          <w:tcPr>
            <w:tcW w:w="1260" w:type="dxa"/>
            <w:noWrap w:val="0"/>
            <w:vAlign w:val="center"/>
          </w:tcPr>
          <w:p w14:paraId="0E268864">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noWrap w:val="0"/>
            <w:vAlign w:val="center"/>
          </w:tcPr>
          <w:p w14:paraId="29BD0D0E">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技术职称</w:t>
            </w:r>
          </w:p>
        </w:tc>
        <w:tc>
          <w:tcPr>
            <w:tcW w:w="1260" w:type="dxa"/>
            <w:gridSpan w:val="3"/>
            <w:noWrap w:val="0"/>
            <w:vAlign w:val="center"/>
          </w:tcPr>
          <w:p w14:paraId="727D2F3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260" w:type="dxa"/>
            <w:gridSpan w:val="3"/>
            <w:noWrap w:val="0"/>
            <w:vAlign w:val="center"/>
          </w:tcPr>
          <w:p w14:paraId="10CD83F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联系电话</w:t>
            </w:r>
          </w:p>
        </w:tc>
        <w:tc>
          <w:tcPr>
            <w:tcW w:w="1260" w:type="dxa"/>
            <w:noWrap w:val="0"/>
            <w:vAlign w:val="center"/>
          </w:tcPr>
          <w:p w14:paraId="51AB36E1">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15EA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14:paraId="11A6EF4B">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成立时间</w:t>
            </w:r>
          </w:p>
        </w:tc>
        <w:tc>
          <w:tcPr>
            <w:tcW w:w="2520" w:type="dxa"/>
            <w:gridSpan w:val="3"/>
            <w:noWrap w:val="0"/>
            <w:vAlign w:val="center"/>
          </w:tcPr>
          <w:p w14:paraId="1B7CA237">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5040" w:type="dxa"/>
            <w:gridSpan w:val="8"/>
            <w:noWrap w:val="0"/>
            <w:vAlign w:val="center"/>
          </w:tcPr>
          <w:p w14:paraId="3F9FC741">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员工总人数：</w:t>
            </w:r>
          </w:p>
        </w:tc>
      </w:tr>
      <w:tr w14:paraId="7C2B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14:paraId="64DBECF0">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企业资质等级</w:t>
            </w:r>
          </w:p>
        </w:tc>
        <w:tc>
          <w:tcPr>
            <w:tcW w:w="2520" w:type="dxa"/>
            <w:gridSpan w:val="3"/>
            <w:noWrap w:val="0"/>
            <w:vAlign w:val="center"/>
          </w:tcPr>
          <w:p w14:paraId="66F01CC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2"/>
            <w:vMerge w:val="restart"/>
            <w:noWrap w:val="0"/>
            <w:vAlign w:val="center"/>
          </w:tcPr>
          <w:p w14:paraId="10752494">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其中</w:t>
            </w:r>
          </w:p>
        </w:tc>
        <w:tc>
          <w:tcPr>
            <w:tcW w:w="1680" w:type="dxa"/>
            <w:gridSpan w:val="3"/>
            <w:noWrap w:val="0"/>
            <w:vAlign w:val="center"/>
          </w:tcPr>
          <w:p w14:paraId="18C2C4E8">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项目经理</w:t>
            </w:r>
          </w:p>
        </w:tc>
        <w:tc>
          <w:tcPr>
            <w:tcW w:w="1680" w:type="dxa"/>
            <w:gridSpan w:val="3"/>
            <w:noWrap w:val="0"/>
            <w:vAlign w:val="center"/>
          </w:tcPr>
          <w:p w14:paraId="4796732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6860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14:paraId="57AFE01E">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营业执照</w:t>
            </w:r>
            <w:r>
              <w:rPr>
                <w:rFonts w:hint="eastAsia" w:ascii="Times New Roman" w:hAnsi="Times New Roman" w:cs="Times New Roman"/>
                <w:color w:val="auto"/>
                <w:highlight w:val="none"/>
              </w:rPr>
              <w:t>号</w:t>
            </w:r>
          </w:p>
        </w:tc>
        <w:tc>
          <w:tcPr>
            <w:tcW w:w="2520" w:type="dxa"/>
            <w:gridSpan w:val="3"/>
            <w:noWrap w:val="0"/>
            <w:vAlign w:val="center"/>
          </w:tcPr>
          <w:p w14:paraId="398AC248">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2"/>
            <w:vMerge w:val="continue"/>
            <w:noWrap w:val="0"/>
            <w:vAlign w:val="center"/>
          </w:tcPr>
          <w:p w14:paraId="31F15EA3">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3"/>
            <w:noWrap w:val="0"/>
            <w:vAlign w:val="center"/>
          </w:tcPr>
          <w:p w14:paraId="4528B267">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高级职称人员</w:t>
            </w:r>
          </w:p>
        </w:tc>
        <w:tc>
          <w:tcPr>
            <w:tcW w:w="1680" w:type="dxa"/>
            <w:gridSpan w:val="3"/>
            <w:noWrap w:val="0"/>
            <w:vAlign w:val="center"/>
          </w:tcPr>
          <w:p w14:paraId="1D321B79">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7412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14:paraId="78ABECA2">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注册资金</w:t>
            </w:r>
          </w:p>
        </w:tc>
        <w:tc>
          <w:tcPr>
            <w:tcW w:w="2520" w:type="dxa"/>
            <w:gridSpan w:val="3"/>
            <w:noWrap w:val="0"/>
            <w:vAlign w:val="center"/>
          </w:tcPr>
          <w:p w14:paraId="38957D6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2"/>
            <w:vMerge w:val="continue"/>
            <w:noWrap w:val="0"/>
            <w:vAlign w:val="center"/>
          </w:tcPr>
          <w:p w14:paraId="35D6A3AB">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3"/>
            <w:noWrap w:val="0"/>
            <w:vAlign w:val="center"/>
          </w:tcPr>
          <w:p w14:paraId="0C17F739">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中级职称人员</w:t>
            </w:r>
          </w:p>
        </w:tc>
        <w:tc>
          <w:tcPr>
            <w:tcW w:w="1680" w:type="dxa"/>
            <w:gridSpan w:val="3"/>
            <w:noWrap w:val="0"/>
            <w:vAlign w:val="center"/>
          </w:tcPr>
          <w:p w14:paraId="7688FBF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699E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14:paraId="2D966254">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开户银行</w:t>
            </w:r>
          </w:p>
        </w:tc>
        <w:tc>
          <w:tcPr>
            <w:tcW w:w="2520" w:type="dxa"/>
            <w:gridSpan w:val="3"/>
            <w:noWrap w:val="0"/>
            <w:vAlign w:val="center"/>
          </w:tcPr>
          <w:p w14:paraId="7A5D6179">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2"/>
            <w:vMerge w:val="continue"/>
            <w:noWrap w:val="0"/>
            <w:vAlign w:val="center"/>
          </w:tcPr>
          <w:p w14:paraId="1F0A2E3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3"/>
            <w:noWrap w:val="0"/>
            <w:vAlign w:val="center"/>
          </w:tcPr>
          <w:p w14:paraId="2188D442">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初级职称人员</w:t>
            </w:r>
          </w:p>
        </w:tc>
        <w:tc>
          <w:tcPr>
            <w:tcW w:w="1680" w:type="dxa"/>
            <w:gridSpan w:val="3"/>
            <w:noWrap w:val="0"/>
            <w:vAlign w:val="center"/>
          </w:tcPr>
          <w:p w14:paraId="3A1D7A2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4AA0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14:paraId="5444147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账号</w:t>
            </w:r>
          </w:p>
        </w:tc>
        <w:tc>
          <w:tcPr>
            <w:tcW w:w="2520" w:type="dxa"/>
            <w:gridSpan w:val="3"/>
            <w:noWrap w:val="0"/>
            <w:vAlign w:val="center"/>
          </w:tcPr>
          <w:p w14:paraId="430EB2E8">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2"/>
            <w:vMerge w:val="continue"/>
            <w:noWrap w:val="0"/>
            <w:vAlign w:val="center"/>
          </w:tcPr>
          <w:p w14:paraId="66BED19F">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c>
          <w:tcPr>
            <w:tcW w:w="1680" w:type="dxa"/>
            <w:gridSpan w:val="3"/>
            <w:noWrap w:val="0"/>
            <w:vAlign w:val="center"/>
          </w:tcPr>
          <w:p w14:paraId="064C50ED">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技工</w:t>
            </w:r>
          </w:p>
        </w:tc>
        <w:tc>
          <w:tcPr>
            <w:tcW w:w="1680" w:type="dxa"/>
            <w:gridSpan w:val="3"/>
            <w:noWrap w:val="0"/>
            <w:vAlign w:val="center"/>
          </w:tcPr>
          <w:p w14:paraId="0513192D">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34B1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14:paraId="4A6412B5">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经营范围</w:t>
            </w:r>
          </w:p>
        </w:tc>
        <w:tc>
          <w:tcPr>
            <w:tcW w:w="7560" w:type="dxa"/>
            <w:gridSpan w:val="11"/>
            <w:noWrap w:val="0"/>
            <w:vAlign w:val="center"/>
          </w:tcPr>
          <w:p w14:paraId="1447A160">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r w14:paraId="2F37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14:paraId="48F03774">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r>
              <w:rPr>
                <w:rFonts w:hint="eastAsia" w:ascii="宋体" w:hAnsi="宋体" w:cs="Arial"/>
                <w:bCs/>
                <w:color w:val="auto"/>
                <w:szCs w:val="21"/>
                <w:highlight w:val="none"/>
              </w:rPr>
              <w:t>备注</w:t>
            </w:r>
          </w:p>
        </w:tc>
        <w:tc>
          <w:tcPr>
            <w:tcW w:w="7560" w:type="dxa"/>
            <w:gridSpan w:val="11"/>
            <w:noWrap w:val="0"/>
            <w:vAlign w:val="center"/>
          </w:tcPr>
          <w:p w14:paraId="2F42C20E">
            <w:pPr>
              <w:keepNext w:val="0"/>
              <w:keepLines w:val="0"/>
              <w:suppressLineNumbers w:val="0"/>
              <w:spacing w:before="0" w:beforeAutospacing="0" w:after="0" w:afterAutospacing="0"/>
              <w:ind w:left="0" w:right="0"/>
              <w:jc w:val="center"/>
              <w:rPr>
                <w:rFonts w:hint="eastAsia" w:ascii="宋体" w:hAnsi="宋体" w:cs="Arial"/>
                <w:bCs/>
                <w:color w:val="auto"/>
                <w:szCs w:val="21"/>
                <w:highlight w:val="none"/>
              </w:rPr>
            </w:pPr>
          </w:p>
        </w:tc>
      </w:tr>
    </w:tbl>
    <w:p w14:paraId="2D76E0EF">
      <w:pPr>
        <w:adjustRightInd w:val="0"/>
        <w:spacing w:line="400" w:lineRule="exact"/>
        <w:jc w:val="left"/>
        <w:rPr>
          <w:rFonts w:hint="eastAsia" w:ascii="宋体" w:hAnsi="宋体"/>
          <w:color w:val="auto"/>
          <w:sz w:val="24"/>
          <w:highlight w:val="none"/>
        </w:rPr>
      </w:pPr>
    </w:p>
    <w:p w14:paraId="6D9E343F">
      <w:pPr>
        <w:adjustRightInd w:val="0"/>
        <w:spacing w:line="400" w:lineRule="exact"/>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39184C16">
      <w:pPr>
        <w:adjustRightInd w:val="0"/>
        <w:spacing w:line="400" w:lineRule="exact"/>
        <w:jc w:val="left"/>
        <w:rPr>
          <w:rFonts w:hint="eastAsia"/>
          <w:bCs/>
          <w:color w:val="auto"/>
          <w:sz w:val="24"/>
          <w:highlight w:val="none"/>
        </w:rPr>
      </w:pPr>
      <w:r>
        <w:rPr>
          <w:rFonts w:hint="eastAsia"/>
          <w:bCs/>
          <w:color w:val="auto"/>
          <w:sz w:val="24"/>
          <w:highlight w:val="none"/>
        </w:rPr>
        <w:t>法定代表人或授权代表（签字或盖章）：XXX</w:t>
      </w:r>
    </w:p>
    <w:p w14:paraId="66A0E565">
      <w:pPr>
        <w:adjustRightInd w:val="0"/>
        <w:spacing w:line="400" w:lineRule="exact"/>
        <w:jc w:val="left"/>
        <w:rPr>
          <w:rFonts w:hint="eastAsia"/>
          <w:bCs/>
          <w:color w:val="auto"/>
          <w:sz w:val="24"/>
          <w:highlight w:val="none"/>
        </w:rPr>
      </w:pPr>
      <w:r>
        <w:rPr>
          <w:rFonts w:hint="eastAsia"/>
          <w:bCs/>
          <w:color w:val="auto"/>
          <w:sz w:val="24"/>
          <w:highlight w:val="none"/>
        </w:rPr>
        <w:t>日  期：XXX年XXX月XXX日</w:t>
      </w:r>
    </w:p>
    <w:p w14:paraId="5F88D68D">
      <w:pPr>
        <w:pStyle w:val="11"/>
        <w:spacing w:line="360" w:lineRule="auto"/>
        <w:ind w:firstLine="482" w:firstLineChars="150"/>
        <w:jc w:val="left"/>
        <w:rPr>
          <w:rFonts w:hint="eastAsia" w:ascii="宋体" w:hAnsi="宋体" w:cs="宋体"/>
          <w:b/>
          <w:color w:val="auto"/>
          <w:sz w:val="32"/>
          <w:szCs w:val="32"/>
          <w:highlight w:val="none"/>
        </w:rPr>
      </w:pPr>
    </w:p>
    <w:p w14:paraId="1DD80F2C">
      <w:pPr>
        <w:spacing w:line="400" w:lineRule="exact"/>
        <w:ind w:firstLine="643" w:firstLineChars="200"/>
        <w:jc w:val="center"/>
        <w:rPr>
          <w:rFonts w:hint="eastAsia" w:ascii="宋体" w:hAnsi="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lang w:eastAsia="zh-CN"/>
        </w:rPr>
        <w:t>四</w:t>
      </w:r>
      <w:r>
        <w:rPr>
          <w:rFonts w:hint="eastAsia" w:ascii="宋体" w:hAnsi="宋体"/>
          <w:b/>
          <w:color w:val="auto"/>
          <w:sz w:val="32"/>
          <w:szCs w:val="32"/>
          <w:highlight w:val="none"/>
        </w:rPr>
        <w:t>、承诺函</w:t>
      </w:r>
    </w:p>
    <w:p w14:paraId="45F9370D">
      <w:pPr>
        <w:spacing w:line="400" w:lineRule="exact"/>
        <w:ind w:firstLine="562" w:firstLineChars="200"/>
        <w:jc w:val="center"/>
        <w:rPr>
          <w:rFonts w:hint="eastAsia" w:ascii="宋体" w:hAnsi="宋体" w:eastAsia="黑体"/>
          <w:b/>
          <w:color w:val="auto"/>
          <w:sz w:val="28"/>
          <w:szCs w:val="28"/>
          <w:highlight w:val="none"/>
        </w:rPr>
      </w:pPr>
    </w:p>
    <w:p w14:paraId="71506759">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四川信息职业技术学院：</w:t>
      </w:r>
    </w:p>
    <w:p w14:paraId="36285FDB">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我公司作为本次采购项目的供应商，根据磋商文件要求，现郑重承诺如下：</w:t>
      </w:r>
    </w:p>
    <w:p w14:paraId="27379A9C">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一、具备《中华人民共和国政府采购法》第二十二条第一款和本项目规定的条件：</w:t>
      </w:r>
    </w:p>
    <w:p w14:paraId="6C8946BE">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（一）具有独立承担民事责任的能力；</w:t>
      </w:r>
    </w:p>
    <w:p w14:paraId="5BEFA138">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（二）具有良好的商业信誉和健全的财务会计制度；</w:t>
      </w:r>
    </w:p>
    <w:p w14:paraId="65ECE9A0">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（三）具有履行合同所必需的设备和专业技术能力；</w:t>
      </w:r>
    </w:p>
    <w:p w14:paraId="7B4AC2CB">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（四）有依法缴纳税收和社会保障资金的良好记录；</w:t>
      </w:r>
    </w:p>
    <w:p w14:paraId="495B17CF">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（五）参加采购活动前三年内，</w:t>
      </w:r>
      <w:r>
        <w:rPr>
          <w:rFonts w:hint="eastAsia" w:ascii="宋体" w:hAnsi="宋体" w:cs="宋体"/>
          <w:b w:val="0"/>
          <w:bCs w:val="0"/>
          <w:color w:val="auto"/>
          <w:sz w:val="24"/>
          <w:highlight w:val="none"/>
        </w:rPr>
        <w:t>在经营活动</w:t>
      </w:r>
      <w:r>
        <w:rPr>
          <w:rFonts w:hint="eastAsia" w:ascii="宋体" w:hAnsi="宋体" w:cs="宋体"/>
          <w:color w:val="auto"/>
          <w:sz w:val="24"/>
          <w:highlight w:val="none"/>
        </w:rPr>
        <w:t>中没有重大违法记录；</w:t>
      </w:r>
    </w:p>
    <w:p w14:paraId="42959B58">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（六）法律、行政法规规定的其他条件；</w:t>
      </w:r>
    </w:p>
    <w:p w14:paraId="5D8CE5CD">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（七）根据采购项目设置的特殊条件。</w:t>
      </w:r>
    </w:p>
    <w:p w14:paraId="2A47AEDD">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二</w:t>
      </w:r>
      <w:r>
        <w:rPr>
          <w:rFonts w:hint="eastAsia" w:ascii="宋体" w:hAnsi="宋体" w:eastAsia="宋体" w:cs="宋体"/>
          <w:b w:val="0"/>
          <w:bCs w:val="0"/>
          <w:color w:val="auto"/>
          <w:sz w:val="24"/>
          <w:highlight w:val="none"/>
        </w:rPr>
        <w:t>、在参加本次采购活动中，不存在与单位负责人为同一人或者存在直接控股、管理关系的其他供应商参与同一合同项下的采购活动的行为。</w:t>
      </w:r>
    </w:p>
    <w:p w14:paraId="3C981AFE">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三</w:t>
      </w:r>
      <w:r>
        <w:rPr>
          <w:rFonts w:hint="eastAsia" w:ascii="宋体" w:hAnsi="宋体" w:eastAsia="宋体" w:cs="宋体"/>
          <w:b w:val="0"/>
          <w:bCs w:val="0"/>
          <w:color w:val="auto"/>
          <w:sz w:val="24"/>
          <w:highlight w:val="none"/>
        </w:rPr>
        <w:t>、在参加本次采购活动中，不存在和其他供应商在同一合同项下的采购项目中，同时委托同一个自然人、同一家庭的人员、同一单位的人员作为代理人的行为。</w:t>
      </w:r>
    </w:p>
    <w:p w14:paraId="3754A36B">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四</w:t>
      </w:r>
      <w:r>
        <w:rPr>
          <w:rFonts w:hint="eastAsia" w:ascii="宋体" w:hAnsi="宋体" w:eastAsia="宋体" w:cs="宋体"/>
          <w:b w:val="0"/>
          <w:bCs w:val="0"/>
          <w:color w:val="auto"/>
          <w:sz w:val="24"/>
          <w:highlight w:val="none"/>
        </w:rPr>
        <w:t>、如果有规定的记入诚信档案的失信行为，将在响应文件中全面如实反映。</w:t>
      </w:r>
    </w:p>
    <w:p w14:paraId="2CAA2492">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五</w:t>
      </w:r>
      <w:r>
        <w:rPr>
          <w:rFonts w:hint="eastAsia" w:ascii="宋体" w:hAnsi="宋体" w:eastAsia="宋体" w:cs="宋体"/>
          <w:b w:val="0"/>
          <w:bCs w:val="0"/>
          <w:color w:val="auto"/>
          <w:sz w:val="24"/>
          <w:highlight w:val="none"/>
        </w:rPr>
        <w:t>、响应文件中提供的任何资料和技术、服务、商务等响应承诺情况都是真实的、有效的、合法的。</w:t>
      </w:r>
    </w:p>
    <w:p w14:paraId="14F13A82">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lang w:val="en-US" w:eastAsia="zh-CN"/>
        </w:rPr>
        <w:t>六</w:t>
      </w:r>
      <w:r>
        <w:rPr>
          <w:rFonts w:hint="eastAsia" w:ascii="宋体" w:hAnsi="宋体" w:eastAsia="宋体" w:cs="宋体"/>
          <w:b w:val="0"/>
          <w:bCs w:val="0"/>
          <w:color w:val="auto"/>
          <w:sz w:val="24"/>
          <w:highlight w:val="none"/>
        </w:rPr>
        <w:t>、如本项目磋商采购过程中需要提供样品，则我公司提供的样品即为成交后将要提供的成交产品，我公司对提供样品的性能和质量负责，因样品存在缺陷或者不符合磋商文件要求导致未能成交的，我公司愿意承担相应不利后果。</w:t>
      </w:r>
    </w:p>
    <w:p w14:paraId="2A882402">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highlight w:val="none"/>
        </w:rPr>
        <w:t>本公司对上述承诺的内容事项真实性负责。如经查实上述承诺的内容事项存在虚假，我公司愿意接受以提供虚假材料谋取成交的法律责任。</w:t>
      </w:r>
    </w:p>
    <w:p w14:paraId="101A0B94">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eastAsia="宋体" w:cs="宋体"/>
          <w:b w:val="0"/>
          <w:bCs w:val="0"/>
          <w:color w:val="auto"/>
          <w:sz w:val="24"/>
          <w:highlight w:val="none"/>
        </w:rPr>
      </w:pPr>
    </w:p>
    <w:p w14:paraId="3639F2C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宋体" w:hAnsi="宋体" w:cs="宋体"/>
          <w:color w:val="auto"/>
          <w:sz w:val="24"/>
          <w:highlight w:val="none"/>
        </w:rPr>
      </w:pPr>
    </w:p>
    <w:p w14:paraId="05F7A187">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供应商名称：XXXX（盖章）</w:t>
      </w:r>
    </w:p>
    <w:p w14:paraId="6AFCBA7B">
      <w:pPr>
        <w:keepNext w:val="0"/>
        <w:keepLines w:val="0"/>
        <w:pageBreakBefore w:val="0"/>
        <w:widowControl w:val="0"/>
        <w:kinsoku/>
        <w:wordWrap/>
        <w:overflowPunct/>
        <w:topLinePunct w:val="0"/>
        <w:autoSpaceDE/>
        <w:autoSpaceDN/>
        <w:bidi w:val="0"/>
        <w:adjustRightInd/>
        <w:snapToGrid/>
        <w:spacing w:line="312" w:lineRule="auto"/>
        <w:ind w:firstLine="470" w:firstLineChars="196"/>
        <w:textAlignment w:val="auto"/>
        <w:rPr>
          <w:rFonts w:hint="eastAsia" w:ascii="宋体" w:hAnsi="宋体" w:cs="宋体"/>
          <w:color w:val="auto"/>
          <w:sz w:val="24"/>
          <w:highlight w:val="none"/>
        </w:rPr>
      </w:pPr>
      <w:r>
        <w:rPr>
          <w:rFonts w:hint="eastAsia" w:ascii="宋体" w:hAnsi="宋体" w:cs="宋体"/>
          <w:color w:val="auto"/>
          <w:sz w:val="24"/>
          <w:highlight w:val="none"/>
        </w:rPr>
        <w:t>法定代表人或授权代表（签字或盖章）：XXX</w:t>
      </w:r>
    </w:p>
    <w:p w14:paraId="7DFB9834">
      <w:pPr>
        <w:keepNext w:val="0"/>
        <w:keepLines w:val="0"/>
        <w:pageBreakBefore w:val="0"/>
        <w:widowControl w:val="0"/>
        <w:kinsoku/>
        <w:wordWrap/>
        <w:overflowPunct/>
        <w:topLinePunct w:val="0"/>
        <w:autoSpaceDE/>
        <w:autoSpaceDN/>
        <w:bidi w:val="0"/>
        <w:adjustRightInd/>
        <w:snapToGrid/>
        <w:spacing w:line="312" w:lineRule="auto"/>
        <w:ind w:firstLine="480" w:firstLineChars="200"/>
        <w:textAlignment w:val="auto"/>
        <w:rPr>
          <w:rFonts w:hint="eastAsia" w:ascii="宋体" w:hAnsi="宋体" w:cs="宋体"/>
          <w:color w:val="auto"/>
          <w:highlight w:val="none"/>
        </w:rPr>
      </w:pPr>
      <w:r>
        <w:rPr>
          <w:rFonts w:hint="eastAsia" w:ascii="宋体" w:hAnsi="宋体" w:cs="宋体"/>
          <w:color w:val="auto"/>
          <w:sz w:val="24"/>
          <w:highlight w:val="none"/>
        </w:rPr>
        <w:t>日    期：XXX年XXX月XXX日</w:t>
      </w:r>
    </w:p>
    <w:p w14:paraId="1AB9A399">
      <w:pPr>
        <w:pStyle w:val="24"/>
        <w:spacing w:line="360" w:lineRule="auto"/>
        <w:jc w:val="left"/>
        <w:outlineLvl w:val="9"/>
        <w:rPr>
          <w:rFonts w:hint="eastAsia" w:ascii="宋体" w:hAnsi="宋体" w:cs="宋体"/>
          <w:color w:val="auto"/>
          <w:highlight w:val="none"/>
        </w:rPr>
      </w:pPr>
    </w:p>
    <w:p w14:paraId="7FF0BFC1">
      <w:pPr>
        <w:jc w:val="center"/>
        <w:rPr>
          <w:rFonts w:hint="eastAsia"/>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lang w:eastAsia="zh-CN"/>
        </w:rPr>
        <w:t>五</w:t>
      </w:r>
      <w:r>
        <w:rPr>
          <w:rFonts w:hint="eastAsia"/>
          <w:b/>
          <w:color w:val="auto"/>
          <w:sz w:val="32"/>
          <w:szCs w:val="32"/>
          <w:highlight w:val="none"/>
        </w:rPr>
        <w:t>、报价函</w:t>
      </w:r>
    </w:p>
    <w:p w14:paraId="4BA99001">
      <w:pPr>
        <w:spacing w:line="360" w:lineRule="auto"/>
        <w:rPr>
          <w:rFonts w:hint="eastAsia" w:ascii="宋体" w:hAnsi="宋体"/>
          <w:color w:val="auto"/>
          <w:sz w:val="24"/>
          <w:highlight w:val="none"/>
        </w:rPr>
      </w:pPr>
    </w:p>
    <w:p w14:paraId="49480E15">
      <w:pPr>
        <w:spacing w:line="360" w:lineRule="auto"/>
        <w:ind w:right="-149" w:rightChars="-71"/>
        <w:rPr>
          <w:rFonts w:hint="eastAsia" w:ascii="宋体" w:hAnsi="宋体" w:cs="宋体"/>
          <w:color w:val="auto"/>
          <w:sz w:val="24"/>
          <w:highlight w:val="none"/>
        </w:rPr>
      </w:pPr>
      <w:r>
        <w:rPr>
          <w:rFonts w:hint="eastAsia" w:ascii="宋体" w:hAnsi="宋体" w:cs="宋体"/>
          <w:color w:val="auto"/>
          <w:sz w:val="24"/>
          <w:highlight w:val="none"/>
        </w:rPr>
        <w:t>四川信息职业技术学院：</w:t>
      </w:r>
    </w:p>
    <w:p w14:paraId="66B745E6">
      <w:pPr>
        <w:keepNext w:val="0"/>
        <w:keepLines w:val="0"/>
        <w:pageBreakBefore w:val="0"/>
        <w:widowControl w:val="0"/>
        <w:kinsoku/>
        <w:wordWrap/>
        <w:overflowPunct/>
        <w:topLinePunct w:val="0"/>
        <w:autoSpaceDE/>
        <w:autoSpaceDN/>
        <w:bidi w:val="0"/>
        <w:adjustRightInd/>
        <w:snapToGrid/>
        <w:spacing w:line="360" w:lineRule="auto"/>
        <w:ind w:right="-149" w:rightChars="-71"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1.我方全面研究了“XXXXXX”项目磋商文件（项目编号：XXXX），决定参加贵单位组织的本项目磋商采购。</w:t>
      </w:r>
    </w:p>
    <w:p w14:paraId="709150EF">
      <w:pPr>
        <w:keepNext w:val="0"/>
        <w:keepLines w:val="0"/>
        <w:pageBreakBefore w:val="0"/>
        <w:widowControl w:val="0"/>
        <w:kinsoku/>
        <w:wordWrap/>
        <w:overflowPunct/>
        <w:topLinePunct w:val="0"/>
        <w:autoSpaceDE/>
        <w:autoSpaceDN/>
        <w:bidi w:val="0"/>
        <w:adjustRightInd/>
        <w:snapToGrid/>
        <w:spacing w:line="360" w:lineRule="auto"/>
        <w:ind w:right="-149" w:rightChars="-71" w:firstLine="480" w:firstLineChars="200"/>
        <w:textAlignment w:val="auto"/>
        <w:rPr>
          <w:rFonts w:hint="eastAsia" w:ascii="宋体" w:hAnsi="宋体" w:eastAsia="宋体" w:cs="宋体"/>
          <w:color w:val="auto"/>
          <w:sz w:val="24"/>
          <w:highlight w:val="cyan"/>
          <w:lang w:eastAsia="zh-CN"/>
        </w:rPr>
      </w:pPr>
      <w:r>
        <w:rPr>
          <w:rFonts w:hint="eastAsia" w:ascii="宋体" w:hAnsi="宋体" w:cs="宋体"/>
          <w:color w:val="auto"/>
          <w:sz w:val="24"/>
          <w:highlight w:val="none"/>
        </w:rPr>
        <w:t>2.我方自愿按照磋商文件规定的各项要求向采购人提供本项目全部服务，本项目采用统一固定下浮比例报价，下浮率计算基数严格按照川价发〔2008〕141 号文件对应服务类型、对应工程造价档次核算的单项基准收费额执行，全部服务分项统一适用同一固定下浮比例。整体统一下浮____%（大写：百分之____）</w:t>
      </w:r>
      <w:r>
        <w:rPr>
          <w:rFonts w:hint="eastAsia" w:ascii="宋体" w:hAnsi="宋体" w:cs="宋体"/>
          <w:color w:val="auto"/>
          <w:sz w:val="24"/>
          <w:highlight w:val="none"/>
          <w:lang w:eastAsia="zh-CN"/>
        </w:rPr>
        <w:t>，</w:t>
      </w:r>
      <w:r>
        <w:rPr>
          <w:rFonts w:ascii="宋体" w:hAnsi="宋体" w:eastAsia="宋体" w:cs="宋体"/>
          <w:sz w:val="24"/>
          <w:szCs w:val="24"/>
        </w:rPr>
        <w:t>大小写金额不一致时以大写文字为准。</w:t>
      </w:r>
    </w:p>
    <w:p w14:paraId="0B1DE37B">
      <w:pPr>
        <w:spacing w:line="360" w:lineRule="auto"/>
        <w:ind w:right="-149" w:rightChars="-7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3.一旦我方成交，我方将严格履行政府采购合同规定的责任和义务。</w:t>
      </w:r>
    </w:p>
    <w:p w14:paraId="6FBB19B8">
      <w:pPr>
        <w:spacing w:line="360" w:lineRule="auto"/>
        <w:ind w:right="-149" w:rightChars="-71"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我方同意本磋商文件依据《四川省公共资源交易领域严重失信联合惩戒实施办法》（川发改信用规〔2019〕405号）、《关于对政府采购领域严重违法失信主体开展联合惩戒的合作备忘录》（发改财金〔2018〕1614号）等有关规定给予行政处罚或者以失信行为记入诚信档案。</w:t>
      </w:r>
    </w:p>
    <w:p w14:paraId="5BBCA37C">
      <w:pPr>
        <w:spacing w:line="360" w:lineRule="auto"/>
        <w:ind w:right="-149" w:rightChars="-71"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.我方为本项目提交的响应文件正本1份，副本2份和电子文档（U盘或光盘）1份，用于磋商报价。</w:t>
      </w:r>
    </w:p>
    <w:p w14:paraId="48F0C07B">
      <w:pPr>
        <w:spacing w:line="360" w:lineRule="auto"/>
        <w:ind w:right="-149" w:rightChars="-71"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.我方愿意提供贵单位可能另外要求的，与磋商报价有关的文件资料，并保证我方已提供和将要提供的文件资料是真实、准确的。</w:t>
      </w:r>
    </w:p>
    <w:p w14:paraId="0946E70A">
      <w:pPr>
        <w:spacing w:line="360" w:lineRule="auto"/>
        <w:ind w:right="-149" w:rightChars="-71" w:firstLine="480" w:firstLineChars="200"/>
        <w:rPr>
          <w:rFonts w:hint="eastAsia" w:ascii="宋体" w:hAnsi="宋体" w:eastAsia="宋体" w:cs="宋体"/>
          <w:color w:val="auto"/>
          <w:sz w:val="24"/>
          <w:highlight w:val="none"/>
          <w:lang w:val="en" w:eastAsia="zh-CN"/>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.本次磋商，我方递交的响应文件有效期为递交磋商响应文件截止之日起</w:t>
      </w:r>
      <w:r>
        <w:rPr>
          <w:rFonts w:hint="eastAsia" w:ascii="宋体" w:hAnsi="宋体" w:cs="宋体"/>
          <w:color w:val="auto"/>
          <w:sz w:val="24"/>
          <w:highlight w:val="none"/>
          <w:u w:val="single"/>
        </w:rPr>
        <w:t>90</w:t>
      </w:r>
      <w:r>
        <w:rPr>
          <w:rFonts w:hint="eastAsia" w:ascii="宋体" w:hAnsi="宋体" w:cs="宋体"/>
          <w:color w:val="auto"/>
          <w:sz w:val="24"/>
          <w:highlight w:val="none"/>
        </w:rPr>
        <w:t>天</w:t>
      </w:r>
      <w:r>
        <w:rPr>
          <w:rFonts w:hint="eastAsia" w:ascii="宋体" w:hAnsi="宋体" w:cs="宋体"/>
          <w:color w:val="auto"/>
          <w:sz w:val="24"/>
          <w:highlight w:val="none"/>
          <w:lang w:eastAsia="zh-CN"/>
        </w:rPr>
        <w:t>。</w:t>
      </w:r>
    </w:p>
    <w:p w14:paraId="623F1C7A">
      <w:pPr>
        <w:adjustRightInd w:val="0"/>
        <w:spacing w:line="400" w:lineRule="exact"/>
        <w:ind w:firstLine="480" w:firstLineChars="200"/>
        <w:rPr>
          <w:rFonts w:hint="eastAsia" w:ascii="宋体" w:hAnsi="宋体" w:cs="宋体"/>
          <w:color w:val="auto"/>
          <w:sz w:val="24"/>
          <w:highlight w:val="none"/>
        </w:rPr>
      </w:pPr>
    </w:p>
    <w:p w14:paraId="07262590">
      <w:pPr>
        <w:adjustRightInd w:val="0"/>
        <w:spacing w:line="400" w:lineRule="exact"/>
        <w:ind w:firstLine="480" w:firstLineChars="200"/>
        <w:rPr>
          <w:rFonts w:hint="eastAsia" w:ascii="宋体" w:hAnsi="宋体" w:cs="宋体"/>
          <w:color w:val="auto"/>
          <w:sz w:val="24"/>
          <w:highlight w:val="none"/>
        </w:rPr>
      </w:pPr>
    </w:p>
    <w:p w14:paraId="28D3DBAE">
      <w:pPr>
        <w:adjustRightInd w:val="0"/>
        <w:spacing w:line="4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供应商名称：XXX（盖单位公章）</w:t>
      </w:r>
    </w:p>
    <w:p w14:paraId="7179B301">
      <w:pPr>
        <w:spacing w:line="400" w:lineRule="exact"/>
        <w:ind w:firstLine="470" w:firstLineChars="196"/>
        <w:rPr>
          <w:rFonts w:hint="eastAsia" w:ascii="宋体" w:hAnsi="宋体" w:cs="宋体"/>
          <w:color w:val="auto"/>
          <w:sz w:val="24"/>
          <w:highlight w:val="none"/>
        </w:rPr>
      </w:pPr>
      <w:r>
        <w:rPr>
          <w:rFonts w:hint="eastAsia" w:ascii="宋体" w:hAnsi="宋体" w:cs="宋体"/>
          <w:color w:val="auto"/>
          <w:sz w:val="24"/>
          <w:highlight w:val="none"/>
        </w:rPr>
        <w:t>法定代表人或授权代表（签字或盖章）：XXX</w:t>
      </w:r>
    </w:p>
    <w:p w14:paraId="4CF4E4B7">
      <w:pPr>
        <w:spacing w:line="400" w:lineRule="exact"/>
        <w:ind w:firstLine="470" w:firstLineChars="196"/>
        <w:rPr>
          <w:rFonts w:hint="eastAsia" w:ascii="宋体" w:hAnsi="宋体" w:cs="宋体"/>
          <w:color w:val="auto"/>
          <w:sz w:val="24"/>
          <w:highlight w:val="none"/>
        </w:rPr>
      </w:pPr>
      <w:r>
        <w:rPr>
          <w:rFonts w:hint="eastAsia" w:ascii="宋体" w:hAnsi="宋体" w:cs="宋体"/>
          <w:color w:val="auto"/>
          <w:sz w:val="24"/>
          <w:highlight w:val="none"/>
        </w:rPr>
        <w:t>日    期：XXX年XXX月XXX日</w:t>
      </w:r>
    </w:p>
    <w:p w14:paraId="415A3363">
      <w:pPr>
        <w:spacing w:line="360" w:lineRule="auto"/>
        <w:jc w:val="left"/>
        <w:rPr>
          <w:rFonts w:hint="eastAsia" w:ascii="宋体" w:hAnsi="宋体" w:cs="宋体"/>
          <w:b/>
          <w:color w:val="auto"/>
          <w:sz w:val="32"/>
          <w:szCs w:val="32"/>
          <w:highlight w:val="none"/>
        </w:rPr>
      </w:pPr>
    </w:p>
    <w:p w14:paraId="71906396">
      <w:pPr>
        <w:spacing w:line="360" w:lineRule="auto"/>
        <w:jc w:val="left"/>
        <w:rPr>
          <w:rFonts w:hint="eastAsia" w:ascii="宋体" w:hAnsi="宋体" w:cs="宋体"/>
          <w:b/>
          <w:color w:val="auto"/>
          <w:sz w:val="32"/>
          <w:szCs w:val="32"/>
          <w:highlight w:val="none"/>
        </w:rPr>
      </w:pPr>
    </w:p>
    <w:p w14:paraId="4BC1FAD3">
      <w:pPr>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lang w:eastAsia="zh-CN"/>
        </w:rPr>
        <w:t>六</w:t>
      </w:r>
      <w:r>
        <w:rPr>
          <w:rFonts w:hint="eastAsia"/>
          <w:b/>
          <w:color w:val="auto"/>
          <w:sz w:val="32"/>
          <w:szCs w:val="32"/>
          <w:highlight w:val="none"/>
        </w:rPr>
        <w:t>、报价表</w:t>
      </w:r>
    </w:p>
    <w:p w14:paraId="5C169315">
      <w:pPr>
        <w:overflowPunct w:val="0"/>
        <w:spacing w:line="360" w:lineRule="auto"/>
        <w:ind w:firstLine="480" w:firstLineChars="200"/>
        <w:rPr>
          <w:rFonts w:hint="eastAsia" w:ascii="宋体" w:hAnsi="宋体" w:cs="宋体"/>
          <w:color w:val="auto"/>
          <w:sz w:val="24"/>
          <w:highlight w:val="none"/>
        </w:rPr>
      </w:pPr>
    </w:p>
    <w:p w14:paraId="0BD82A37">
      <w:pPr>
        <w:overflowPunct w:val="0"/>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202607SJ002</w:t>
      </w:r>
    </w:p>
    <w:tbl>
      <w:tblPr>
        <w:tblStyle w:val="32"/>
        <w:tblW w:w="9669" w:type="dxa"/>
        <w:tblInd w:w="0" w:type="dxa"/>
        <w:tblLayout w:type="fixed"/>
        <w:tblCellMar>
          <w:top w:w="0" w:type="dxa"/>
          <w:left w:w="108" w:type="dxa"/>
          <w:bottom w:w="0" w:type="dxa"/>
          <w:right w:w="108" w:type="dxa"/>
        </w:tblCellMar>
      </w:tblPr>
      <w:tblGrid>
        <w:gridCol w:w="1299"/>
        <w:gridCol w:w="2958"/>
        <w:gridCol w:w="2875"/>
        <w:gridCol w:w="2537"/>
      </w:tblGrid>
      <w:tr w14:paraId="197F416C">
        <w:tblPrEx>
          <w:tblCellMar>
            <w:top w:w="0" w:type="dxa"/>
            <w:left w:w="108" w:type="dxa"/>
            <w:bottom w:w="0" w:type="dxa"/>
            <w:right w:w="108" w:type="dxa"/>
          </w:tblCellMar>
        </w:tblPrEx>
        <w:trPr>
          <w:trHeight w:val="695" w:hRule="atLeast"/>
        </w:trPr>
        <w:tc>
          <w:tcPr>
            <w:tcW w:w="1299" w:type="dxa"/>
            <w:tcBorders>
              <w:top w:val="single" w:color="auto" w:sz="4" w:space="0"/>
              <w:left w:val="single" w:color="auto" w:sz="4" w:space="0"/>
              <w:bottom w:val="single" w:color="auto" w:sz="4" w:space="0"/>
              <w:right w:val="single" w:color="auto" w:sz="4" w:space="0"/>
            </w:tcBorders>
            <w:noWrap w:val="0"/>
            <w:vAlign w:val="center"/>
          </w:tcPr>
          <w:p w14:paraId="58AAB2A5">
            <w:pPr>
              <w:keepNext w:val="0"/>
              <w:keepLines w:val="0"/>
              <w:widowControl/>
              <w:suppressLineNumbers w:val="0"/>
              <w:spacing w:before="0" w:beforeAutospacing="0" w:after="0" w:afterAutospacing="0" w:line="360" w:lineRule="auto"/>
              <w:ind w:left="120" w:right="0"/>
              <w:jc w:val="center"/>
              <w:rPr>
                <w:rFonts w:hint="eastAsia" w:ascii="宋体" w:hAnsi="宋体" w:eastAsia="宋体" w:cs="宋体"/>
                <w:color w:val="auto"/>
                <w:highlight w:val="none"/>
                <w:lang w:eastAsia="zh-CN"/>
              </w:rPr>
            </w:pPr>
            <w:bookmarkStart w:id="90" w:name="_Toc27090"/>
            <w:bookmarkStart w:id="91" w:name="_Toc23957"/>
            <w:bookmarkStart w:id="92" w:name="_Toc20400"/>
            <w:r>
              <w:rPr>
                <w:rFonts w:hint="eastAsia" w:ascii="宋体" w:hAnsi="宋体" w:eastAsia="宋体" w:cs="宋体"/>
                <w:color w:val="auto"/>
                <w:highlight w:val="none"/>
                <w:lang w:eastAsia="zh-CN"/>
              </w:rPr>
              <w:t>序号</w:t>
            </w:r>
          </w:p>
        </w:tc>
        <w:tc>
          <w:tcPr>
            <w:tcW w:w="2958" w:type="dxa"/>
            <w:tcBorders>
              <w:top w:val="single" w:color="auto" w:sz="4" w:space="0"/>
              <w:left w:val="nil"/>
              <w:bottom w:val="single" w:color="auto" w:sz="4" w:space="0"/>
              <w:right w:val="single" w:color="auto" w:sz="4" w:space="0"/>
            </w:tcBorders>
            <w:noWrap w:val="0"/>
            <w:vAlign w:val="center"/>
          </w:tcPr>
          <w:p w14:paraId="105452E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项目内容</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28558524">
            <w:pPr>
              <w:keepNext w:val="0"/>
              <w:keepLines w:val="0"/>
              <w:widowControl/>
              <w:suppressLineNumbers w:val="0"/>
              <w:spacing w:before="0" w:beforeAutospacing="0" w:after="0" w:afterAutospacing="0" w:line="360" w:lineRule="auto"/>
              <w:ind w:left="120" w:right="0"/>
              <w:jc w:val="center"/>
              <w:rPr>
                <w:rFonts w:hint="eastAsia" w:ascii="宋体" w:hAnsi="宋体" w:cs="宋体"/>
                <w:color w:val="auto"/>
                <w:highlight w:val="none"/>
                <w:lang w:eastAsia="zh-CN"/>
              </w:rPr>
            </w:pPr>
            <w:r>
              <w:rPr>
                <w:rFonts w:hint="eastAsia" w:ascii="宋体" w:hAnsi="宋体" w:cs="宋体"/>
                <w:color w:val="auto"/>
                <w:highlight w:val="none"/>
                <w:lang w:eastAsia="zh-CN"/>
              </w:rPr>
              <w:t>报价（下浮比例）</w:t>
            </w:r>
          </w:p>
        </w:tc>
        <w:tc>
          <w:tcPr>
            <w:tcW w:w="2537" w:type="dxa"/>
            <w:tcBorders>
              <w:top w:val="single" w:color="auto" w:sz="4" w:space="0"/>
              <w:left w:val="single" w:color="auto" w:sz="4" w:space="0"/>
              <w:bottom w:val="single" w:color="auto" w:sz="4" w:space="0"/>
              <w:right w:val="single" w:color="auto" w:sz="4" w:space="0"/>
            </w:tcBorders>
            <w:noWrap w:val="0"/>
            <w:vAlign w:val="center"/>
          </w:tcPr>
          <w:p w14:paraId="0F8DF2BD">
            <w:pPr>
              <w:keepNext w:val="0"/>
              <w:keepLines w:val="0"/>
              <w:widowControl/>
              <w:suppressLineNumbers w:val="0"/>
              <w:spacing w:before="0" w:beforeAutospacing="0" w:after="0" w:afterAutospacing="0" w:line="360" w:lineRule="auto"/>
              <w:ind w:left="120" w:right="0"/>
              <w:jc w:val="center"/>
              <w:rPr>
                <w:rFonts w:hint="eastAsia" w:ascii="宋体" w:hAnsi="宋体" w:cs="宋体"/>
                <w:color w:val="auto"/>
                <w:highlight w:val="none"/>
                <w:lang w:eastAsia="zh-CN"/>
              </w:rPr>
            </w:pPr>
            <w:r>
              <w:rPr>
                <w:rFonts w:hint="eastAsia" w:ascii="宋体" w:hAnsi="宋体" w:cs="宋体"/>
                <w:color w:val="auto"/>
                <w:highlight w:val="none"/>
                <w:lang w:eastAsia="zh-CN"/>
              </w:rPr>
              <w:t>备注</w:t>
            </w:r>
          </w:p>
        </w:tc>
      </w:tr>
      <w:tr w14:paraId="2DF63C93">
        <w:tblPrEx>
          <w:tblCellMar>
            <w:top w:w="0" w:type="dxa"/>
            <w:left w:w="108" w:type="dxa"/>
            <w:bottom w:w="0" w:type="dxa"/>
            <w:right w:w="108" w:type="dxa"/>
          </w:tblCellMar>
        </w:tblPrEx>
        <w:trPr>
          <w:trHeight w:val="1929" w:hRule="atLeast"/>
        </w:trPr>
        <w:tc>
          <w:tcPr>
            <w:tcW w:w="1299" w:type="dxa"/>
            <w:tcBorders>
              <w:top w:val="single" w:color="auto" w:sz="4" w:space="0"/>
              <w:left w:val="single" w:color="auto" w:sz="4" w:space="0"/>
              <w:bottom w:val="single" w:color="auto" w:sz="4" w:space="0"/>
              <w:right w:val="single" w:color="auto" w:sz="4" w:space="0"/>
            </w:tcBorders>
            <w:noWrap w:val="0"/>
            <w:vAlign w:val="center"/>
          </w:tcPr>
          <w:p w14:paraId="5311E40D">
            <w:pPr>
              <w:keepNext w:val="0"/>
              <w:keepLines w:val="0"/>
              <w:widowControl/>
              <w:suppressLineNumbers w:val="0"/>
              <w:spacing w:before="0" w:beforeAutospacing="0" w:after="0" w:afterAutospacing="0" w:line="360" w:lineRule="auto"/>
              <w:ind w:left="120" w:right="0"/>
              <w:jc w:val="center"/>
              <w:rPr>
                <w:rFonts w:hint="eastAsia" w:ascii="宋体" w:hAnsi="宋体" w:eastAsia="宋体" w:cs="宋体"/>
                <w:color w:val="auto"/>
                <w:highlight w:val="none"/>
                <w:lang w:val="en-US" w:eastAsia="zh-CN" w:bidi="ar"/>
              </w:rPr>
            </w:pPr>
            <w:r>
              <w:rPr>
                <w:rFonts w:hint="eastAsia" w:ascii="宋体" w:hAnsi="宋体" w:cs="宋体"/>
                <w:color w:val="auto"/>
                <w:highlight w:val="none"/>
                <w:lang w:val="en-US" w:eastAsia="zh-CN" w:bidi="ar"/>
              </w:rPr>
              <w:t>1</w:t>
            </w:r>
          </w:p>
        </w:tc>
        <w:tc>
          <w:tcPr>
            <w:tcW w:w="2958" w:type="dxa"/>
            <w:tcBorders>
              <w:top w:val="single" w:color="auto" w:sz="4" w:space="0"/>
              <w:left w:val="nil"/>
              <w:bottom w:val="single" w:color="auto" w:sz="4" w:space="0"/>
              <w:right w:val="single" w:color="auto" w:sz="4" w:space="0"/>
            </w:tcBorders>
            <w:noWrap w:val="0"/>
            <w:vAlign w:val="center"/>
          </w:tcPr>
          <w:p w14:paraId="2E170FD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四川信息职业技术学院工程造价咨询服务采购项目</w:t>
            </w:r>
          </w:p>
        </w:tc>
        <w:tc>
          <w:tcPr>
            <w:tcW w:w="2875" w:type="dxa"/>
            <w:tcBorders>
              <w:top w:val="single" w:color="auto" w:sz="4" w:space="0"/>
              <w:left w:val="single" w:color="auto" w:sz="4" w:space="0"/>
              <w:bottom w:val="single" w:color="auto" w:sz="4" w:space="0"/>
              <w:right w:val="single" w:color="auto" w:sz="4" w:space="0"/>
            </w:tcBorders>
            <w:noWrap w:val="0"/>
            <w:vAlign w:val="center"/>
          </w:tcPr>
          <w:p w14:paraId="105BB5C2">
            <w:pPr>
              <w:keepNext w:val="0"/>
              <w:keepLines w:val="0"/>
              <w:widowControl/>
              <w:suppressLineNumbers w:val="0"/>
              <w:spacing w:before="0" w:beforeAutospacing="0" w:after="0" w:afterAutospacing="0" w:line="360" w:lineRule="auto"/>
              <w:ind w:left="120" w:right="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下浮：___%</w:t>
            </w:r>
          </w:p>
        </w:tc>
        <w:tc>
          <w:tcPr>
            <w:tcW w:w="2537" w:type="dxa"/>
            <w:tcBorders>
              <w:top w:val="single" w:color="auto" w:sz="4" w:space="0"/>
              <w:left w:val="single" w:color="auto" w:sz="4" w:space="0"/>
              <w:bottom w:val="single" w:color="auto" w:sz="4" w:space="0"/>
              <w:right w:val="single" w:color="auto" w:sz="4" w:space="0"/>
            </w:tcBorders>
            <w:noWrap w:val="0"/>
            <w:vAlign w:val="center"/>
          </w:tcPr>
          <w:p w14:paraId="5EE397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19" w:right="0" w:firstLine="420" w:firstLineChars="200"/>
              <w:jc w:val="both"/>
              <w:textAlignment w:val="auto"/>
              <w:rPr>
                <w:rFonts w:hint="eastAsia" w:ascii="宋体" w:hAnsi="宋体" w:cs="宋体"/>
                <w:color w:val="FF0000"/>
                <w:highlight w:val="none"/>
                <w:lang w:val="en-US" w:eastAsia="zh-CN"/>
              </w:rPr>
            </w:pPr>
          </w:p>
        </w:tc>
      </w:tr>
      <w:tr w14:paraId="59C22301">
        <w:tblPrEx>
          <w:tblCellMar>
            <w:top w:w="0" w:type="dxa"/>
            <w:left w:w="108" w:type="dxa"/>
            <w:bottom w:w="0" w:type="dxa"/>
            <w:right w:w="108" w:type="dxa"/>
          </w:tblCellMar>
        </w:tblPrEx>
        <w:trPr>
          <w:trHeight w:val="854" w:hRule="atLeast"/>
        </w:trPr>
        <w:tc>
          <w:tcPr>
            <w:tcW w:w="9669" w:type="dxa"/>
            <w:gridSpan w:val="4"/>
            <w:tcBorders>
              <w:left w:val="single" w:color="auto" w:sz="4" w:space="0"/>
              <w:bottom w:val="single" w:color="auto" w:sz="4" w:space="0"/>
              <w:right w:val="single" w:color="auto" w:sz="4" w:space="0"/>
            </w:tcBorders>
            <w:noWrap w:val="0"/>
            <w:vAlign w:val="center"/>
          </w:tcPr>
          <w:p w14:paraId="49D20A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19" w:right="0" w:firstLine="420" w:firstLineChars="200"/>
              <w:jc w:val="both"/>
              <w:textAlignment w:val="auto"/>
              <w:rPr>
                <w:rFonts w:hint="eastAsia" w:ascii="宋体" w:hAnsi="宋体" w:cs="宋体"/>
                <w:color w:val="FF0000"/>
                <w:highlight w:val="none"/>
                <w:lang w:val="en-US" w:eastAsia="zh-CN"/>
              </w:rPr>
            </w:pPr>
            <w:r>
              <w:rPr>
                <w:rFonts w:hint="eastAsia" w:ascii="宋体" w:hAnsi="宋体" w:cs="宋体"/>
                <w:color w:val="auto"/>
                <w:highlight w:val="none"/>
                <w:lang w:val="en-US" w:eastAsia="zh-CN"/>
              </w:rPr>
              <w:t>大写：</w:t>
            </w:r>
          </w:p>
        </w:tc>
      </w:tr>
    </w:tbl>
    <w:p w14:paraId="1BD0A01D">
      <w:pPr>
        <w:spacing w:line="360" w:lineRule="auto"/>
        <w:jc w:val="left"/>
        <w:rPr>
          <w:rFonts w:hint="eastAsia" w:ascii="宋体" w:hAnsi="宋体" w:cs="宋体"/>
          <w:color w:val="auto"/>
          <w:sz w:val="24"/>
          <w:highlight w:val="none"/>
        </w:rPr>
      </w:pPr>
    </w:p>
    <w:bookmarkEnd w:id="90"/>
    <w:bookmarkEnd w:id="91"/>
    <w:bookmarkEnd w:id="92"/>
    <w:p w14:paraId="7B8D76AE">
      <w:pPr>
        <w:pageBreakBefore w:val="0"/>
        <w:kinsoku/>
        <w:wordWrap/>
        <w:topLinePunct w:val="0"/>
        <w:bidi w:val="0"/>
        <w:spacing w:line="460" w:lineRule="exact"/>
        <w:ind w:right="-149" w:rightChars="-71" w:firstLine="361" w:firstLineChars="150"/>
        <w:jc w:val="left"/>
        <w:rPr>
          <w:rFonts w:hint="eastAsia" w:ascii="宋体" w:hAnsi="宋体" w:eastAsia="宋体" w:cs="宋体"/>
          <w:b/>
          <w:color w:val="auto"/>
          <w:sz w:val="24"/>
          <w:highlight w:val="none"/>
          <w:lang w:eastAsia="zh-CN"/>
        </w:rPr>
      </w:pPr>
      <w:r>
        <w:rPr>
          <w:rFonts w:hint="eastAsia" w:ascii="宋体" w:hAnsi="宋体" w:cs="宋体"/>
          <w:b/>
          <w:color w:val="auto"/>
          <w:sz w:val="24"/>
          <w:highlight w:val="none"/>
        </w:rPr>
        <w:t>注：1、所有报价均用人民币表示，所报价格是交货地的验收价格，其总价即为履行合同的固定价格。运输、安装、调试、检验、培训、税金和保险等费用以及采购文件规</w:t>
      </w:r>
      <w:r>
        <w:rPr>
          <w:rFonts w:hint="eastAsia" w:ascii="宋体" w:hAnsi="宋体" w:eastAsia="宋体" w:cs="宋体"/>
          <w:b/>
          <w:color w:val="auto"/>
          <w:sz w:val="24"/>
          <w:highlight w:val="none"/>
        </w:rPr>
        <w:t>定的其他费用均应包含在报价中</w:t>
      </w:r>
      <w:r>
        <w:rPr>
          <w:rFonts w:hint="eastAsia" w:ascii="宋体" w:hAnsi="宋体" w:eastAsia="宋体" w:cs="宋体"/>
          <w:b/>
          <w:color w:val="auto"/>
          <w:sz w:val="24"/>
          <w:highlight w:val="none"/>
          <w:lang w:eastAsia="zh-CN"/>
        </w:rPr>
        <w:t>。</w:t>
      </w:r>
    </w:p>
    <w:p w14:paraId="65C94A4E">
      <w:pPr>
        <w:pStyle w:val="72"/>
        <w:spacing w:line="360" w:lineRule="auto"/>
        <w:ind w:left="420" w:leftChars="200" w:firstLine="360" w:firstLineChars="150"/>
        <w:rPr>
          <w:rFonts w:hint="eastAsia" w:ascii="宋体" w:hAnsi="宋体" w:eastAsia="宋体" w:cs="宋体"/>
          <w:bCs/>
          <w:color w:val="auto"/>
          <w:highlight w:val="none"/>
          <w:lang w:val="en-US" w:eastAsia="zh-CN"/>
        </w:rPr>
      </w:pPr>
    </w:p>
    <w:p w14:paraId="1EE93519">
      <w:pPr>
        <w:pStyle w:val="72"/>
        <w:spacing w:line="360" w:lineRule="auto"/>
        <w:ind w:left="420" w:leftChars="200" w:firstLine="360" w:firstLineChars="150"/>
        <w:rPr>
          <w:rFonts w:ascii="宋体" w:hAnsi="宋体" w:eastAsia="宋体" w:cs="宋体"/>
          <w:bCs/>
          <w:color w:val="auto"/>
          <w:highlight w:val="none"/>
        </w:rPr>
      </w:pPr>
    </w:p>
    <w:p w14:paraId="2A231334">
      <w:pPr>
        <w:spacing w:line="360" w:lineRule="auto"/>
        <w:ind w:left="420" w:leftChars="200" w:firstLine="360" w:firstLineChars="150"/>
        <w:jc w:val="left"/>
        <w:rPr>
          <w:rFonts w:ascii="宋体" w:hAnsi="宋体" w:cs="宋体"/>
          <w:color w:val="auto"/>
          <w:sz w:val="24"/>
          <w:highlight w:val="none"/>
        </w:rPr>
      </w:pPr>
      <w:r>
        <w:rPr>
          <w:rFonts w:hint="eastAsia" w:ascii="宋体" w:hAnsi="宋体" w:cs="宋体"/>
          <w:color w:val="auto"/>
          <w:sz w:val="24"/>
          <w:highlight w:val="none"/>
        </w:rPr>
        <w:t>磋商供应商名称：XXXX。</w:t>
      </w:r>
    </w:p>
    <w:p w14:paraId="733EF765">
      <w:pPr>
        <w:spacing w:line="360" w:lineRule="auto"/>
        <w:ind w:left="420" w:leftChars="200" w:firstLine="360" w:firstLineChars="150"/>
        <w:jc w:val="left"/>
        <w:rPr>
          <w:rFonts w:ascii="宋体" w:hAnsi="宋体" w:cs="宋体"/>
          <w:color w:val="auto"/>
          <w:sz w:val="24"/>
          <w:highlight w:val="none"/>
        </w:rPr>
      </w:pPr>
      <w:r>
        <w:rPr>
          <w:rFonts w:hint="eastAsia" w:ascii="宋体" w:hAnsi="宋体" w:cs="宋体"/>
          <w:color w:val="auto"/>
          <w:sz w:val="24"/>
          <w:highlight w:val="none"/>
        </w:rPr>
        <w:t>法定代表人或授权代表（签字或加盖个人名章）：XXXX。</w:t>
      </w:r>
    </w:p>
    <w:p w14:paraId="1676E1FA">
      <w:pPr>
        <w:spacing w:line="360" w:lineRule="auto"/>
        <w:ind w:left="420" w:leftChars="200" w:firstLine="360" w:firstLineChars="150"/>
        <w:jc w:val="left"/>
        <w:rPr>
          <w:rFonts w:ascii="宋体" w:hAnsi="宋体" w:cs="宋体"/>
          <w:color w:val="auto"/>
          <w:sz w:val="24"/>
          <w:highlight w:val="none"/>
        </w:rPr>
      </w:pPr>
      <w:r>
        <w:rPr>
          <w:rFonts w:hint="eastAsia" w:ascii="宋体" w:hAnsi="宋体" w:cs="宋体"/>
          <w:color w:val="auto"/>
          <w:sz w:val="24"/>
          <w:highlight w:val="none"/>
        </w:rPr>
        <w:t>日    期:XXXX。</w:t>
      </w:r>
    </w:p>
    <w:p w14:paraId="7201C498">
      <w:pPr>
        <w:spacing w:line="360" w:lineRule="auto"/>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eastAsia="宋体" w:cs="宋体"/>
          <w:b/>
          <w:color w:val="auto"/>
          <w:sz w:val="32"/>
          <w:szCs w:val="28"/>
          <w:highlight w:val="none"/>
          <w:lang w:eastAsia="zh-CN"/>
        </w:rPr>
        <w:t>七</w:t>
      </w:r>
      <w:r>
        <w:rPr>
          <w:rFonts w:hint="eastAsia" w:ascii="宋体" w:hAnsi="宋体" w:eastAsia="宋体" w:cs="宋体"/>
          <w:b/>
          <w:color w:val="auto"/>
          <w:sz w:val="32"/>
          <w:szCs w:val="28"/>
          <w:highlight w:val="none"/>
        </w:rPr>
        <w:t>、第</w:t>
      </w:r>
      <w:r>
        <w:rPr>
          <w:rFonts w:hint="eastAsia" w:ascii="宋体" w:hAnsi="宋体" w:cs="宋体"/>
          <w:b/>
          <w:color w:val="auto"/>
          <w:sz w:val="32"/>
          <w:szCs w:val="28"/>
          <w:highlight w:val="none"/>
          <w:u w:val="single"/>
        </w:rPr>
        <w:t xml:space="preserve"> </w:t>
      </w:r>
      <w:r>
        <w:rPr>
          <w:rFonts w:hint="eastAsia" w:ascii="宋体" w:hAnsi="宋体" w:cs="宋体"/>
          <w:b/>
          <w:color w:val="auto"/>
          <w:sz w:val="32"/>
          <w:szCs w:val="28"/>
          <w:highlight w:val="none"/>
          <w:u w:val="single"/>
          <w:lang w:val="en-US" w:eastAsia="zh-CN"/>
        </w:rPr>
        <w:t xml:space="preserve">  </w:t>
      </w:r>
      <w:r>
        <w:rPr>
          <w:rFonts w:hint="eastAsia" w:ascii="宋体" w:hAnsi="宋体" w:cs="宋体"/>
          <w:b/>
          <w:color w:val="auto"/>
          <w:sz w:val="32"/>
          <w:szCs w:val="28"/>
          <w:highlight w:val="none"/>
          <w:u w:val="single"/>
        </w:rPr>
        <w:t xml:space="preserve"> </w:t>
      </w:r>
      <w:r>
        <w:rPr>
          <w:rFonts w:hint="eastAsia" w:ascii="宋体" w:hAnsi="宋体" w:cs="宋体"/>
          <w:b/>
          <w:color w:val="auto"/>
          <w:sz w:val="32"/>
          <w:szCs w:val="28"/>
          <w:highlight w:val="none"/>
        </w:rPr>
        <w:t>轮报价/最后报价(根据磋商实际情况选择)</w:t>
      </w:r>
    </w:p>
    <w:p w14:paraId="48E9F772">
      <w:pPr>
        <w:overflowPunct w:val="0"/>
        <w:spacing w:line="360" w:lineRule="auto"/>
        <w:ind w:firstLine="480" w:firstLineChars="200"/>
        <w:rPr>
          <w:rFonts w:hint="eastAsia" w:ascii="宋体" w:hAnsi="宋体" w:cs="宋体"/>
          <w:color w:val="auto"/>
          <w:sz w:val="24"/>
          <w:highlight w:val="none"/>
        </w:rPr>
      </w:pPr>
    </w:p>
    <w:p w14:paraId="77AD4113">
      <w:pPr>
        <w:overflowPunct w:val="0"/>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202607SJ002</w:t>
      </w:r>
    </w:p>
    <w:tbl>
      <w:tblPr>
        <w:tblStyle w:val="32"/>
        <w:tblW w:w="9669" w:type="dxa"/>
        <w:tblInd w:w="0" w:type="dxa"/>
        <w:tblLayout w:type="fixed"/>
        <w:tblCellMar>
          <w:top w:w="0" w:type="dxa"/>
          <w:left w:w="108" w:type="dxa"/>
          <w:bottom w:w="0" w:type="dxa"/>
          <w:right w:w="108" w:type="dxa"/>
        </w:tblCellMar>
      </w:tblPr>
      <w:tblGrid>
        <w:gridCol w:w="1299"/>
        <w:gridCol w:w="2902"/>
        <w:gridCol w:w="2884"/>
        <w:gridCol w:w="2584"/>
      </w:tblGrid>
      <w:tr w14:paraId="320AE232">
        <w:tblPrEx>
          <w:tblCellMar>
            <w:top w:w="0" w:type="dxa"/>
            <w:left w:w="108" w:type="dxa"/>
            <w:bottom w:w="0" w:type="dxa"/>
            <w:right w:w="108" w:type="dxa"/>
          </w:tblCellMar>
        </w:tblPrEx>
        <w:trPr>
          <w:trHeight w:val="695" w:hRule="atLeast"/>
        </w:trPr>
        <w:tc>
          <w:tcPr>
            <w:tcW w:w="1299" w:type="dxa"/>
            <w:tcBorders>
              <w:top w:val="single" w:color="auto" w:sz="4" w:space="0"/>
              <w:left w:val="single" w:color="auto" w:sz="4" w:space="0"/>
              <w:bottom w:val="single" w:color="auto" w:sz="4" w:space="0"/>
              <w:right w:val="single" w:color="auto" w:sz="4" w:space="0"/>
            </w:tcBorders>
            <w:noWrap w:val="0"/>
            <w:vAlign w:val="center"/>
          </w:tcPr>
          <w:p w14:paraId="351A21FD">
            <w:pPr>
              <w:keepNext w:val="0"/>
              <w:keepLines w:val="0"/>
              <w:widowControl/>
              <w:suppressLineNumbers w:val="0"/>
              <w:spacing w:before="0" w:beforeAutospacing="0" w:after="0" w:afterAutospacing="0" w:line="360" w:lineRule="auto"/>
              <w:ind w:left="120" w:right="0"/>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序号</w:t>
            </w:r>
          </w:p>
        </w:tc>
        <w:tc>
          <w:tcPr>
            <w:tcW w:w="2902" w:type="dxa"/>
            <w:tcBorders>
              <w:top w:val="single" w:color="auto" w:sz="4" w:space="0"/>
              <w:left w:val="nil"/>
              <w:bottom w:val="single" w:color="auto" w:sz="4" w:space="0"/>
              <w:right w:val="single" w:color="auto" w:sz="4" w:space="0"/>
            </w:tcBorders>
            <w:noWrap w:val="0"/>
            <w:vAlign w:val="center"/>
          </w:tcPr>
          <w:p w14:paraId="75123E2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项目内容</w:t>
            </w:r>
          </w:p>
        </w:tc>
        <w:tc>
          <w:tcPr>
            <w:tcW w:w="2884" w:type="dxa"/>
            <w:tcBorders>
              <w:top w:val="single" w:color="auto" w:sz="4" w:space="0"/>
              <w:left w:val="single" w:color="auto" w:sz="4" w:space="0"/>
              <w:bottom w:val="single" w:color="auto" w:sz="4" w:space="0"/>
              <w:right w:val="single" w:color="auto" w:sz="4" w:space="0"/>
            </w:tcBorders>
            <w:noWrap w:val="0"/>
            <w:vAlign w:val="center"/>
          </w:tcPr>
          <w:p w14:paraId="5B3C1014">
            <w:pPr>
              <w:keepNext w:val="0"/>
              <w:keepLines w:val="0"/>
              <w:widowControl/>
              <w:suppressLineNumbers w:val="0"/>
              <w:spacing w:before="0" w:beforeAutospacing="0" w:after="0" w:afterAutospacing="0" w:line="360" w:lineRule="auto"/>
              <w:ind w:left="120" w:right="0"/>
              <w:jc w:val="center"/>
              <w:rPr>
                <w:rFonts w:hint="eastAsia" w:ascii="宋体" w:hAnsi="宋体" w:cs="宋体"/>
                <w:color w:val="auto"/>
                <w:highlight w:val="none"/>
                <w:lang w:eastAsia="zh-CN"/>
              </w:rPr>
            </w:pPr>
            <w:r>
              <w:rPr>
                <w:rFonts w:hint="eastAsia" w:ascii="宋体" w:hAnsi="宋体" w:cs="宋体"/>
                <w:color w:val="auto"/>
                <w:highlight w:val="none"/>
                <w:lang w:eastAsia="zh-CN"/>
              </w:rPr>
              <w:t>报价（下浮比例）</w:t>
            </w:r>
          </w:p>
        </w:tc>
        <w:tc>
          <w:tcPr>
            <w:tcW w:w="2584" w:type="dxa"/>
            <w:tcBorders>
              <w:top w:val="single" w:color="auto" w:sz="4" w:space="0"/>
              <w:left w:val="single" w:color="auto" w:sz="4" w:space="0"/>
              <w:bottom w:val="single" w:color="auto" w:sz="4" w:space="0"/>
              <w:right w:val="single" w:color="auto" w:sz="4" w:space="0"/>
            </w:tcBorders>
            <w:noWrap w:val="0"/>
            <w:vAlign w:val="center"/>
          </w:tcPr>
          <w:p w14:paraId="35E4A831">
            <w:pPr>
              <w:keepNext w:val="0"/>
              <w:keepLines w:val="0"/>
              <w:widowControl/>
              <w:suppressLineNumbers w:val="0"/>
              <w:spacing w:before="0" w:beforeAutospacing="0" w:after="0" w:afterAutospacing="0" w:line="360" w:lineRule="auto"/>
              <w:ind w:left="120" w:right="0"/>
              <w:jc w:val="center"/>
              <w:rPr>
                <w:rFonts w:hint="eastAsia" w:ascii="宋体" w:hAnsi="宋体" w:cs="宋体"/>
                <w:color w:val="auto"/>
                <w:highlight w:val="none"/>
                <w:lang w:eastAsia="zh-CN"/>
              </w:rPr>
            </w:pPr>
            <w:r>
              <w:rPr>
                <w:rFonts w:hint="eastAsia" w:ascii="宋体" w:hAnsi="宋体" w:cs="宋体"/>
                <w:color w:val="auto"/>
                <w:highlight w:val="none"/>
                <w:lang w:eastAsia="zh-CN"/>
              </w:rPr>
              <w:t>备注</w:t>
            </w:r>
          </w:p>
        </w:tc>
      </w:tr>
      <w:tr w14:paraId="33578EF3">
        <w:tblPrEx>
          <w:tblCellMar>
            <w:top w:w="0" w:type="dxa"/>
            <w:left w:w="108" w:type="dxa"/>
            <w:bottom w:w="0" w:type="dxa"/>
            <w:right w:w="108" w:type="dxa"/>
          </w:tblCellMar>
        </w:tblPrEx>
        <w:trPr>
          <w:trHeight w:val="1929" w:hRule="atLeast"/>
        </w:trPr>
        <w:tc>
          <w:tcPr>
            <w:tcW w:w="1299" w:type="dxa"/>
            <w:tcBorders>
              <w:top w:val="single" w:color="auto" w:sz="4" w:space="0"/>
              <w:left w:val="single" w:color="auto" w:sz="4" w:space="0"/>
              <w:bottom w:val="single" w:color="auto" w:sz="4" w:space="0"/>
              <w:right w:val="single" w:color="auto" w:sz="4" w:space="0"/>
            </w:tcBorders>
            <w:noWrap w:val="0"/>
            <w:vAlign w:val="center"/>
          </w:tcPr>
          <w:p w14:paraId="4160B6CB">
            <w:pPr>
              <w:keepNext w:val="0"/>
              <w:keepLines w:val="0"/>
              <w:widowControl/>
              <w:suppressLineNumbers w:val="0"/>
              <w:spacing w:before="0" w:beforeAutospacing="0" w:after="0" w:afterAutospacing="0" w:line="360" w:lineRule="auto"/>
              <w:ind w:left="120" w:right="0"/>
              <w:jc w:val="center"/>
              <w:rPr>
                <w:rFonts w:hint="eastAsia" w:ascii="宋体" w:hAnsi="宋体" w:eastAsia="宋体" w:cs="宋体"/>
                <w:color w:val="auto"/>
                <w:highlight w:val="none"/>
                <w:lang w:val="en-US" w:eastAsia="zh-CN" w:bidi="ar"/>
              </w:rPr>
            </w:pPr>
            <w:r>
              <w:rPr>
                <w:rFonts w:hint="eastAsia" w:ascii="宋体" w:hAnsi="宋体" w:cs="宋体"/>
                <w:color w:val="auto"/>
                <w:highlight w:val="none"/>
                <w:lang w:val="en-US" w:eastAsia="zh-CN" w:bidi="ar"/>
              </w:rPr>
              <w:t>1</w:t>
            </w:r>
          </w:p>
        </w:tc>
        <w:tc>
          <w:tcPr>
            <w:tcW w:w="2902" w:type="dxa"/>
            <w:tcBorders>
              <w:top w:val="single" w:color="auto" w:sz="4" w:space="0"/>
              <w:left w:val="nil"/>
              <w:bottom w:val="single" w:color="auto" w:sz="4" w:space="0"/>
              <w:right w:val="single" w:color="auto" w:sz="4" w:space="0"/>
            </w:tcBorders>
            <w:noWrap w:val="0"/>
            <w:vAlign w:val="center"/>
          </w:tcPr>
          <w:p w14:paraId="240EF5E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四川信息职业技术学院工程造价咨询服务采购项目</w:t>
            </w:r>
          </w:p>
        </w:tc>
        <w:tc>
          <w:tcPr>
            <w:tcW w:w="2884" w:type="dxa"/>
            <w:tcBorders>
              <w:top w:val="single" w:color="auto" w:sz="4" w:space="0"/>
              <w:left w:val="single" w:color="auto" w:sz="4" w:space="0"/>
              <w:bottom w:val="single" w:color="auto" w:sz="4" w:space="0"/>
              <w:right w:val="single" w:color="auto" w:sz="4" w:space="0"/>
            </w:tcBorders>
            <w:noWrap w:val="0"/>
            <w:vAlign w:val="center"/>
          </w:tcPr>
          <w:p w14:paraId="03BD689A">
            <w:pPr>
              <w:keepNext w:val="0"/>
              <w:keepLines w:val="0"/>
              <w:widowControl/>
              <w:suppressLineNumbers w:val="0"/>
              <w:spacing w:before="0" w:beforeAutospacing="0" w:after="0" w:afterAutospacing="0" w:line="360" w:lineRule="auto"/>
              <w:ind w:left="120" w:right="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下浮：___%</w:t>
            </w:r>
          </w:p>
        </w:tc>
        <w:tc>
          <w:tcPr>
            <w:tcW w:w="2584" w:type="dxa"/>
            <w:tcBorders>
              <w:top w:val="single" w:color="auto" w:sz="4" w:space="0"/>
              <w:left w:val="single" w:color="auto" w:sz="4" w:space="0"/>
              <w:bottom w:val="single" w:color="auto" w:sz="4" w:space="0"/>
              <w:right w:val="single" w:color="auto" w:sz="4" w:space="0"/>
            </w:tcBorders>
            <w:noWrap w:val="0"/>
            <w:vAlign w:val="center"/>
          </w:tcPr>
          <w:p w14:paraId="059F0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19" w:right="0" w:firstLine="420" w:firstLineChars="200"/>
              <w:jc w:val="both"/>
              <w:textAlignment w:val="auto"/>
              <w:rPr>
                <w:rFonts w:hint="eastAsia" w:ascii="宋体" w:hAnsi="宋体" w:cs="宋体"/>
                <w:color w:val="FF0000"/>
                <w:highlight w:val="none"/>
                <w:lang w:val="en-US" w:eastAsia="zh-CN"/>
              </w:rPr>
            </w:pPr>
          </w:p>
        </w:tc>
      </w:tr>
      <w:tr w14:paraId="2B5B650E">
        <w:tblPrEx>
          <w:tblCellMar>
            <w:top w:w="0" w:type="dxa"/>
            <w:left w:w="108" w:type="dxa"/>
            <w:bottom w:w="0" w:type="dxa"/>
            <w:right w:w="108" w:type="dxa"/>
          </w:tblCellMar>
        </w:tblPrEx>
        <w:trPr>
          <w:trHeight w:val="854" w:hRule="atLeast"/>
        </w:trPr>
        <w:tc>
          <w:tcPr>
            <w:tcW w:w="9669" w:type="dxa"/>
            <w:gridSpan w:val="4"/>
            <w:tcBorders>
              <w:left w:val="single" w:color="auto" w:sz="4" w:space="0"/>
              <w:bottom w:val="single" w:color="auto" w:sz="4" w:space="0"/>
              <w:right w:val="single" w:color="auto" w:sz="4" w:space="0"/>
            </w:tcBorders>
            <w:noWrap w:val="0"/>
            <w:vAlign w:val="center"/>
          </w:tcPr>
          <w:p w14:paraId="1234A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119" w:right="0" w:firstLine="420" w:firstLineChars="200"/>
              <w:jc w:val="both"/>
              <w:textAlignment w:val="auto"/>
              <w:rPr>
                <w:rFonts w:hint="eastAsia" w:ascii="宋体" w:hAnsi="宋体" w:cs="宋体"/>
                <w:color w:val="FF0000"/>
                <w:highlight w:val="none"/>
                <w:lang w:val="en-US" w:eastAsia="zh-CN"/>
              </w:rPr>
            </w:pPr>
            <w:r>
              <w:rPr>
                <w:rFonts w:hint="eastAsia" w:ascii="宋体" w:hAnsi="宋体" w:cs="宋体"/>
                <w:color w:val="auto"/>
                <w:highlight w:val="none"/>
                <w:lang w:val="en-US" w:eastAsia="zh-CN"/>
              </w:rPr>
              <w:t>大写：</w:t>
            </w:r>
          </w:p>
        </w:tc>
      </w:tr>
    </w:tbl>
    <w:p w14:paraId="6887722E">
      <w:pPr>
        <w:spacing w:line="360" w:lineRule="auto"/>
        <w:ind w:left="420" w:leftChars="200" w:firstLine="360" w:firstLineChars="150"/>
        <w:jc w:val="left"/>
        <w:rPr>
          <w:rFonts w:hint="eastAsia" w:ascii="宋体" w:hAnsi="宋体" w:cs="宋体"/>
          <w:color w:val="auto"/>
          <w:sz w:val="24"/>
          <w:highlight w:val="none"/>
        </w:rPr>
      </w:pPr>
    </w:p>
    <w:p w14:paraId="5AD0ECD4">
      <w:pPr>
        <w:pageBreakBefore w:val="0"/>
        <w:kinsoku/>
        <w:wordWrap/>
        <w:topLinePunct w:val="0"/>
        <w:bidi w:val="0"/>
        <w:spacing w:line="460" w:lineRule="exact"/>
        <w:ind w:right="-149" w:rightChars="-71" w:firstLine="361" w:firstLineChars="150"/>
        <w:jc w:val="left"/>
        <w:rPr>
          <w:rFonts w:hint="eastAsia" w:ascii="宋体" w:hAnsi="宋体" w:cs="宋体"/>
          <w:b/>
          <w:color w:val="auto"/>
          <w:sz w:val="24"/>
          <w:highlight w:val="none"/>
        </w:rPr>
      </w:pPr>
      <w:r>
        <w:rPr>
          <w:rFonts w:hint="eastAsia" w:ascii="宋体" w:hAnsi="宋体" w:cs="宋体"/>
          <w:b/>
          <w:color w:val="auto"/>
          <w:sz w:val="24"/>
          <w:highlight w:val="none"/>
        </w:rPr>
        <w:t>注：1、所有报价均用人民币表示，所报价格是交货地的验收价格，其总价即为履行合同的固定价格。运输、安装、调试、检验、培训、税金和保险等费用以及采购文件规定的其他费用均应包含在报价中</w:t>
      </w:r>
      <w:r>
        <w:rPr>
          <w:rFonts w:hint="eastAsia" w:ascii="宋体" w:hAnsi="宋体" w:cs="宋体"/>
          <w:b/>
          <w:color w:val="auto"/>
          <w:sz w:val="24"/>
          <w:highlight w:val="none"/>
          <w:lang w:eastAsia="zh-CN"/>
        </w:rPr>
        <w:t>。</w:t>
      </w:r>
    </w:p>
    <w:p w14:paraId="7E7494F6">
      <w:pPr>
        <w:spacing w:line="360" w:lineRule="auto"/>
        <w:ind w:left="420" w:leftChars="200" w:firstLine="361" w:firstLineChars="150"/>
        <w:jc w:val="left"/>
        <w:rPr>
          <w:rFonts w:ascii="宋体" w:hAnsi="宋体" w:cs="宋体"/>
          <w:b/>
          <w:bCs/>
          <w:color w:val="auto"/>
          <w:sz w:val="24"/>
          <w:highlight w:val="none"/>
        </w:rPr>
      </w:pPr>
      <w:r>
        <w:rPr>
          <w:rFonts w:hint="eastAsia" w:ascii="宋体" w:hAnsi="宋体" w:cs="宋体"/>
          <w:b/>
          <w:bCs/>
          <w:color w:val="auto"/>
          <w:sz w:val="24"/>
          <w:highlight w:val="none"/>
        </w:rPr>
        <w:t>2、此报价表不做在响应文件中，响应文件通过审查后在报价环节现场填写并递交。</w:t>
      </w:r>
    </w:p>
    <w:p w14:paraId="3F4577B9">
      <w:pPr>
        <w:pStyle w:val="72"/>
        <w:spacing w:line="360" w:lineRule="auto"/>
        <w:ind w:left="420" w:leftChars="200" w:firstLine="360" w:firstLineChars="150"/>
        <w:rPr>
          <w:rFonts w:hint="eastAsia" w:ascii="宋体" w:hAnsi="宋体" w:eastAsia="宋体" w:cs="宋体"/>
          <w:bCs/>
          <w:color w:val="auto"/>
          <w:highlight w:val="none"/>
        </w:rPr>
      </w:pPr>
    </w:p>
    <w:p w14:paraId="46A6996D">
      <w:pPr>
        <w:pStyle w:val="72"/>
        <w:spacing w:line="360" w:lineRule="auto"/>
        <w:ind w:left="420" w:leftChars="200" w:firstLine="360" w:firstLineChars="150"/>
        <w:rPr>
          <w:rFonts w:ascii="宋体" w:hAnsi="宋体" w:eastAsia="宋体" w:cs="宋体"/>
          <w:bCs/>
          <w:color w:val="auto"/>
          <w:highlight w:val="none"/>
        </w:rPr>
      </w:pPr>
    </w:p>
    <w:p w14:paraId="337275C0">
      <w:pPr>
        <w:spacing w:line="360" w:lineRule="auto"/>
        <w:ind w:left="420" w:leftChars="200"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磋商供应商名称：</w:t>
      </w:r>
      <w:r>
        <w:rPr>
          <w:rFonts w:hint="eastAsia" w:ascii="宋体" w:hAnsi="宋体" w:cs="宋体"/>
          <w:color w:val="auto"/>
          <w:sz w:val="24"/>
          <w:highlight w:val="none"/>
          <w:lang w:val="en-US" w:eastAsia="zh-CN"/>
        </w:rPr>
        <w:t xml:space="preserve"> </w:t>
      </w:r>
    </w:p>
    <w:p w14:paraId="456E2673">
      <w:pPr>
        <w:spacing w:line="360" w:lineRule="auto"/>
        <w:ind w:left="420" w:leftChars="200" w:firstLine="360" w:firstLineChars="150"/>
        <w:jc w:val="left"/>
        <w:rPr>
          <w:rFonts w:ascii="宋体" w:hAnsi="宋体" w:cs="宋体"/>
          <w:color w:val="auto"/>
          <w:sz w:val="24"/>
          <w:highlight w:val="none"/>
        </w:rPr>
      </w:pPr>
      <w:r>
        <w:rPr>
          <w:rFonts w:hint="eastAsia" w:ascii="宋体" w:hAnsi="宋体" w:cs="宋体"/>
          <w:color w:val="auto"/>
          <w:sz w:val="24"/>
          <w:highlight w:val="none"/>
        </w:rPr>
        <w:t>法定代表人或授权代表（签字或加盖个人名章）：</w:t>
      </w:r>
    </w:p>
    <w:p w14:paraId="412C3BE4">
      <w:pPr>
        <w:ind w:firstLine="720" w:firstLineChars="300"/>
        <w:rPr>
          <w:rFonts w:hint="eastAsia" w:ascii="宋体" w:hAnsi="宋体" w:cs="宋体"/>
          <w:color w:val="auto"/>
          <w:sz w:val="24"/>
          <w:highlight w:val="none"/>
          <w:lang w:val="en-US" w:eastAsia="zh-CN"/>
        </w:rPr>
      </w:pPr>
      <w:r>
        <w:rPr>
          <w:rFonts w:hint="eastAsia" w:ascii="宋体" w:hAnsi="宋体" w:cs="宋体"/>
          <w:color w:val="auto"/>
          <w:sz w:val="24"/>
          <w:highlight w:val="none"/>
        </w:rPr>
        <w:t>日    期:</w:t>
      </w:r>
    </w:p>
    <w:p w14:paraId="14BFDE9C">
      <w:pPr>
        <w:pStyle w:val="11"/>
        <w:numPr>
          <w:ilvl w:val="0"/>
          <w:numId w:val="0"/>
        </w:numPr>
        <w:ind w:firstLine="630" w:firstLineChars="300"/>
        <w:rPr>
          <w:rFonts w:hint="eastAsia"/>
          <w:color w:val="auto"/>
          <w:highlight w:val="none"/>
          <w:lang w:eastAsia="zh-CN"/>
        </w:rPr>
      </w:pPr>
    </w:p>
    <w:p w14:paraId="19BA435E">
      <w:pPr>
        <w:spacing w:line="360" w:lineRule="auto"/>
        <w:jc w:val="left"/>
        <w:rPr>
          <w:rFonts w:ascii="宋体" w:hAnsi="宋体" w:cs="宋体"/>
          <w:color w:val="auto"/>
          <w:sz w:val="24"/>
          <w:highlight w:val="none"/>
        </w:rPr>
      </w:pPr>
    </w:p>
    <w:p w14:paraId="6F99B181">
      <w:pPr>
        <w:pStyle w:val="11"/>
        <w:rPr>
          <w:rFonts w:hint="eastAsia"/>
          <w:color w:val="auto"/>
          <w:highlight w:val="none"/>
        </w:rPr>
      </w:pPr>
    </w:p>
    <w:p w14:paraId="121B7FE6">
      <w:pPr>
        <w:spacing w:line="360" w:lineRule="auto"/>
        <w:jc w:val="center"/>
        <w:rPr>
          <w:rFonts w:hint="eastAsia" w:ascii="宋体" w:hAnsi="宋体"/>
          <w:b/>
          <w:bCs/>
          <w:color w:val="auto"/>
          <w:sz w:val="32"/>
          <w:szCs w:val="32"/>
          <w:highlight w:val="none"/>
        </w:rPr>
      </w:pPr>
      <w:r>
        <w:rPr>
          <w:rFonts w:hint="eastAsia" w:ascii="宋体" w:hAnsi="宋体" w:cs="宋体"/>
          <w:color w:val="auto"/>
          <w:sz w:val="28"/>
          <w:szCs w:val="28"/>
          <w:highlight w:val="none"/>
        </w:rPr>
        <w:br w:type="page"/>
      </w:r>
      <w:r>
        <w:rPr>
          <w:rFonts w:hint="eastAsia" w:ascii="宋体" w:hAnsi="宋体" w:eastAsia="宋体" w:cs="Times New Roman"/>
          <w:b/>
          <w:color w:val="auto"/>
          <w:sz w:val="32"/>
          <w:szCs w:val="32"/>
          <w:highlight w:val="none"/>
          <w:lang w:eastAsia="zh-CN"/>
        </w:rPr>
        <w:t>八</w:t>
      </w:r>
      <w:r>
        <w:rPr>
          <w:rFonts w:hint="eastAsia" w:ascii="宋体" w:hAnsi="宋体" w:eastAsia="宋体" w:cs="Times New Roman"/>
          <w:b/>
          <w:color w:val="auto"/>
          <w:sz w:val="32"/>
          <w:szCs w:val="32"/>
          <w:highlight w:val="none"/>
        </w:rPr>
        <w:t>、</w:t>
      </w:r>
      <w:bookmarkStart w:id="93" w:name="_Toc25148"/>
      <w:r>
        <w:rPr>
          <w:rFonts w:hint="eastAsia" w:ascii="宋体" w:hAnsi="宋体" w:eastAsia="宋体" w:cs="Times New Roman"/>
          <w:b/>
          <w:color w:val="auto"/>
          <w:sz w:val="32"/>
          <w:szCs w:val="32"/>
          <w:highlight w:val="none"/>
        </w:rPr>
        <w:t>中</w:t>
      </w:r>
      <w:r>
        <w:rPr>
          <w:rFonts w:hint="eastAsia" w:ascii="宋体" w:hAnsi="宋体"/>
          <w:b/>
          <w:color w:val="auto"/>
          <w:sz w:val="32"/>
          <w:szCs w:val="32"/>
          <w:highlight w:val="none"/>
        </w:rPr>
        <w:t>小企业声明函（若涉及）</w:t>
      </w:r>
    </w:p>
    <w:p w14:paraId="702933E6">
      <w:pPr>
        <w:spacing w:line="360" w:lineRule="auto"/>
        <w:ind w:firstLine="643" w:firstLineChars="200"/>
        <w:rPr>
          <w:rFonts w:hint="eastAsia" w:ascii="宋体" w:hAnsi="宋体"/>
          <w:b/>
          <w:bCs/>
          <w:color w:val="auto"/>
          <w:sz w:val="32"/>
          <w:szCs w:val="32"/>
          <w:highlight w:val="none"/>
        </w:rPr>
      </w:pPr>
    </w:p>
    <w:p w14:paraId="0B677691">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本公司（联合体）郑重声明，根据《政府采购促进中小企业发展管理办法》（财库﹝2020﹞46号）的规定，本公司（联合体）参加（单位名称）的（项目名称）采购活动，提供的</w:t>
      </w:r>
      <w:r>
        <w:rPr>
          <w:rFonts w:hint="eastAsia" w:ascii="宋体" w:hAnsi="宋体" w:cs="宋体"/>
          <w:color w:val="auto"/>
          <w:spacing w:val="6"/>
          <w:sz w:val="24"/>
          <w:highlight w:val="none"/>
          <w:lang w:eastAsia="zh-CN"/>
        </w:rPr>
        <w:t>服务</w:t>
      </w:r>
      <w:r>
        <w:rPr>
          <w:rFonts w:hint="eastAsia" w:ascii="宋体" w:hAnsi="宋体" w:cs="宋体"/>
          <w:color w:val="auto"/>
          <w:spacing w:val="6"/>
          <w:sz w:val="24"/>
          <w:highlight w:val="none"/>
        </w:rPr>
        <w:t>全部由符合政策要求的中小企业</w:t>
      </w:r>
      <w:r>
        <w:rPr>
          <w:rFonts w:hint="eastAsia" w:ascii="宋体" w:hAnsi="宋体" w:cs="宋体"/>
          <w:color w:val="auto"/>
          <w:spacing w:val="6"/>
          <w:sz w:val="24"/>
          <w:highlight w:val="none"/>
          <w:lang w:eastAsia="zh-CN"/>
        </w:rPr>
        <w:t>提供</w:t>
      </w:r>
      <w:r>
        <w:rPr>
          <w:rFonts w:hint="eastAsia" w:ascii="宋体" w:hAnsi="宋体" w:cs="宋体"/>
          <w:color w:val="auto"/>
          <w:spacing w:val="6"/>
          <w:sz w:val="24"/>
          <w:highlight w:val="none"/>
        </w:rPr>
        <w:t>。相关企业（含联合体中的中小企业、签订分包意向协议的中小企业）的具体情况如下：</w:t>
      </w:r>
    </w:p>
    <w:p w14:paraId="38393098">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1.（标的名称），属于（采购文件中明确的所属行业）行业；</w:t>
      </w:r>
      <w:r>
        <w:rPr>
          <w:rFonts w:hint="eastAsia" w:ascii="宋体"/>
          <w:color w:val="auto"/>
          <w:sz w:val="24"/>
          <w:highlight w:val="none"/>
        </w:rPr>
        <w:t>承建（承接）</w:t>
      </w:r>
      <w:r>
        <w:rPr>
          <w:rFonts w:hint="eastAsia" w:ascii="宋体" w:hAnsi="宋体" w:cs="宋体"/>
          <w:color w:val="auto"/>
          <w:spacing w:val="6"/>
          <w:sz w:val="24"/>
          <w:highlight w:val="none"/>
        </w:rPr>
        <w:t>为（企业名称），从业人员</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万元，属于（中型企业、小型企业、微型企业）；</w:t>
      </w:r>
    </w:p>
    <w:p w14:paraId="75603AD7">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2.（标的名称），属于（采购文件中明确的所属行业）行业；</w:t>
      </w:r>
      <w:r>
        <w:rPr>
          <w:rFonts w:hint="eastAsia" w:ascii="宋体"/>
          <w:color w:val="auto"/>
          <w:sz w:val="24"/>
          <w:highlight w:val="none"/>
        </w:rPr>
        <w:t>承建（承接）</w:t>
      </w:r>
      <w:r>
        <w:rPr>
          <w:rFonts w:hint="eastAsia" w:ascii="宋体" w:hAnsi="宋体" w:cs="宋体"/>
          <w:color w:val="auto"/>
          <w:spacing w:val="6"/>
          <w:sz w:val="24"/>
          <w:highlight w:val="none"/>
        </w:rPr>
        <w:t>为（企业名称），从业人员</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rPr>
        <w:t xml:space="preserve">   </w:t>
      </w:r>
      <w:r>
        <w:rPr>
          <w:rFonts w:hint="eastAsia" w:ascii="宋体" w:hAnsi="宋体" w:cs="宋体"/>
          <w:color w:val="auto"/>
          <w:spacing w:val="6"/>
          <w:sz w:val="24"/>
          <w:highlight w:val="none"/>
        </w:rPr>
        <w:t>万元，属于（中型企业、小型企业、微型企业）；</w:t>
      </w:r>
    </w:p>
    <w:p w14:paraId="25E6BD12">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w:t>
      </w:r>
    </w:p>
    <w:p w14:paraId="04C9F0CF">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0031C68E">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3959F431">
      <w:pPr>
        <w:rPr>
          <w:rFonts w:hint="eastAsia" w:ascii="仿宋_GB2312" w:hAnsi="仿宋_GB2312" w:eastAsia="仿宋_GB2312" w:cs="仿宋_GB2312"/>
          <w:color w:val="auto"/>
          <w:sz w:val="28"/>
          <w:szCs w:val="28"/>
          <w:highlight w:val="none"/>
        </w:rPr>
      </w:pPr>
    </w:p>
    <w:p w14:paraId="0249FD1F">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2CE98F4B">
      <w:pPr>
        <w:spacing w:line="360" w:lineRule="auto"/>
        <w:ind w:firstLine="504" w:firstLineChars="200"/>
        <w:rPr>
          <w:rFonts w:hint="eastAsia" w:ascii="宋体" w:hAnsi="宋体" w:cs="宋体"/>
          <w:color w:val="auto"/>
          <w:spacing w:val="6"/>
          <w:sz w:val="24"/>
          <w:highlight w:val="none"/>
        </w:rPr>
      </w:pPr>
      <w:r>
        <w:rPr>
          <w:rFonts w:hint="eastAsia" w:ascii="宋体" w:hAnsi="宋体" w:cs="宋体"/>
          <w:color w:val="auto"/>
          <w:spacing w:val="6"/>
          <w:sz w:val="24"/>
          <w:highlight w:val="none"/>
        </w:rPr>
        <w:t>日 期：</w:t>
      </w:r>
    </w:p>
    <w:p w14:paraId="31044121">
      <w:pPr>
        <w:rPr>
          <w:rFonts w:hint="eastAsia" w:ascii="仿宋_GB2312" w:hAnsi="仿宋_GB2312" w:eastAsia="仿宋_GB2312" w:cs="仿宋_GB2312"/>
          <w:color w:val="auto"/>
          <w:sz w:val="24"/>
          <w:highlight w:val="none"/>
        </w:rPr>
      </w:pPr>
    </w:p>
    <w:p w14:paraId="51106F98">
      <w:pPr>
        <w:spacing w:line="360" w:lineRule="auto"/>
        <w:rPr>
          <w:rFonts w:hint="eastAsia" w:ascii="宋体" w:hAnsi="宋体" w:cs="宋体"/>
          <w:b/>
          <w:bCs/>
          <w:color w:val="auto"/>
          <w:spacing w:val="6"/>
          <w:szCs w:val="21"/>
          <w:highlight w:val="none"/>
        </w:rPr>
      </w:pPr>
      <w:r>
        <w:rPr>
          <w:rFonts w:hint="eastAsia" w:ascii="宋体" w:hAnsi="宋体" w:cs="宋体"/>
          <w:b/>
          <w:bCs/>
          <w:color w:val="auto"/>
          <w:spacing w:val="6"/>
          <w:szCs w:val="21"/>
          <w:highlight w:val="none"/>
        </w:rPr>
        <w:t>注：从业人员、营业收入、资产总额填报上一年度数据，无上一年度数据的新成立企业可不填报。</w:t>
      </w:r>
    </w:p>
    <w:p w14:paraId="5C37F86D">
      <w:pPr>
        <w:pStyle w:val="72"/>
        <w:jc w:val="center"/>
        <w:outlineLvl w:val="9"/>
        <w:rPr>
          <w:rFonts w:hint="eastAsia" w:ascii="宋体" w:hAnsi="宋体"/>
          <w:bCs/>
          <w:color w:val="auto"/>
          <w:spacing w:val="6"/>
          <w:sz w:val="32"/>
          <w:szCs w:val="32"/>
          <w:highlight w:val="none"/>
        </w:rPr>
      </w:pPr>
    </w:p>
    <w:p w14:paraId="65743DB9">
      <w:pPr>
        <w:pStyle w:val="72"/>
        <w:jc w:val="center"/>
        <w:outlineLvl w:val="9"/>
        <w:rPr>
          <w:rFonts w:hint="eastAsia" w:ascii="宋体" w:hAnsi="宋体"/>
          <w:bCs/>
          <w:color w:val="auto"/>
          <w:spacing w:val="6"/>
          <w:sz w:val="32"/>
          <w:szCs w:val="32"/>
          <w:highlight w:val="none"/>
        </w:rPr>
      </w:pPr>
    </w:p>
    <w:p w14:paraId="4418ED96">
      <w:pPr>
        <w:pStyle w:val="72"/>
        <w:jc w:val="center"/>
        <w:outlineLvl w:val="9"/>
        <w:rPr>
          <w:rFonts w:hint="eastAsia" w:ascii="宋体" w:hAnsi="宋体"/>
          <w:bCs/>
          <w:color w:val="auto"/>
          <w:spacing w:val="6"/>
          <w:sz w:val="32"/>
          <w:szCs w:val="32"/>
          <w:highlight w:val="none"/>
        </w:rPr>
      </w:pPr>
    </w:p>
    <w:p w14:paraId="379FC8EE">
      <w:pPr>
        <w:pStyle w:val="72"/>
        <w:jc w:val="center"/>
        <w:outlineLvl w:val="9"/>
        <w:rPr>
          <w:rFonts w:hint="eastAsia" w:ascii="宋体" w:hAnsi="宋体"/>
          <w:bCs/>
          <w:color w:val="auto"/>
          <w:spacing w:val="6"/>
          <w:sz w:val="32"/>
          <w:szCs w:val="32"/>
          <w:highlight w:val="none"/>
        </w:rPr>
      </w:pPr>
    </w:p>
    <w:p w14:paraId="23D1EA19">
      <w:pPr>
        <w:pStyle w:val="72"/>
        <w:keepNext w:val="0"/>
        <w:keepLines w:val="0"/>
        <w:pageBreakBefore w:val="0"/>
        <w:kinsoku/>
        <w:wordWrap/>
        <w:overflowPunct/>
        <w:topLinePunct w:val="0"/>
        <w:bidi w:val="0"/>
        <w:snapToGrid/>
        <w:jc w:val="center"/>
        <w:textAlignment w:val="auto"/>
        <w:outlineLvl w:val="9"/>
        <w:rPr>
          <w:rFonts w:ascii="宋体" w:hAnsi="宋体"/>
          <w:b/>
          <w:bCs w:val="0"/>
          <w:color w:val="auto"/>
          <w:spacing w:val="6"/>
          <w:sz w:val="32"/>
          <w:szCs w:val="32"/>
          <w:highlight w:val="none"/>
        </w:rPr>
      </w:pPr>
      <w:r>
        <w:rPr>
          <w:rFonts w:hint="eastAsia" w:ascii="宋体" w:hAnsi="宋体"/>
          <w:bCs/>
          <w:color w:val="auto"/>
          <w:spacing w:val="6"/>
          <w:sz w:val="32"/>
          <w:szCs w:val="32"/>
          <w:highlight w:val="none"/>
        </w:rPr>
        <w:br w:type="page"/>
      </w:r>
      <w:r>
        <w:rPr>
          <w:rFonts w:hint="eastAsia" w:ascii="宋体" w:hAnsi="宋体"/>
          <w:b/>
          <w:bCs w:val="0"/>
          <w:color w:val="auto"/>
          <w:spacing w:val="6"/>
          <w:sz w:val="32"/>
          <w:szCs w:val="32"/>
          <w:highlight w:val="none"/>
          <w:lang w:eastAsia="zh-CN"/>
        </w:rPr>
        <w:t>九</w:t>
      </w:r>
      <w:r>
        <w:rPr>
          <w:rFonts w:hint="eastAsia" w:ascii="宋体" w:hAnsi="宋体"/>
          <w:b/>
          <w:bCs w:val="0"/>
          <w:color w:val="auto"/>
          <w:spacing w:val="6"/>
          <w:sz w:val="32"/>
          <w:szCs w:val="32"/>
          <w:highlight w:val="none"/>
        </w:rPr>
        <w:t>、残疾人福利性单位声明函</w:t>
      </w:r>
      <w:bookmarkEnd w:id="93"/>
      <w:r>
        <w:rPr>
          <w:rFonts w:hint="eastAsia" w:ascii="宋体" w:hAnsi="宋体"/>
          <w:b/>
          <w:bCs w:val="0"/>
          <w:color w:val="auto"/>
          <w:spacing w:val="6"/>
          <w:sz w:val="32"/>
          <w:szCs w:val="32"/>
          <w:highlight w:val="none"/>
        </w:rPr>
        <w:t>（若涉及）</w:t>
      </w:r>
    </w:p>
    <w:p w14:paraId="6588B2C3">
      <w:pPr>
        <w:keepNext w:val="0"/>
        <w:keepLines w:val="0"/>
        <w:pageBreakBefore w:val="0"/>
        <w:kinsoku/>
        <w:wordWrap/>
        <w:overflowPunct/>
        <w:topLinePunct w:val="0"/>
        <w:bidi w:val="0"/>
        <w:snapToGrid/>
        <w:spacing w:line="588" w:lineRule="exact"/>
        <w:textAlignment w:val="auto"/>
        <w:outlineLvl w:val="9"/>
        <w:rPr>
          <w:rFonts w:ascii="仿宋_GB2312" w:eastAsia="仿宋_GB2312"/>
          <w:b/>
          <w:color w:val="auto"/>
          <w:spacing w:val="6"/>
          <w:sz w:val="30"/>
          <w:szCs w:val="30"/>
          <w:highlight w:val="none"/>
        </w:rPr>
      </w:pPr>
    </w:p>
    <w:p w14:paraId="36528499">
      <w:pPr>
        <w:keepNext w:val="0"/>
        <w:keepLines w:val="0"/>
        <w:pageBreakBefore w:val="0"/>
        <w:kinsoku/>
        <w:wordWrap/>
        <w:overflowPunct/>
        <w:topLinePunct w:val="0"/>
        <w:bidi w:val="0"/>
        <w:snapToGrid/>
        <w:spacing w:line="360" w:lineRule="auto"/>
        <w:ind w:firstLine="472" w:firstLineChars="200"/>
        <w:textAlignment w:val="auto"/>
        <w:outlineLvl w:val="9"/>
        <w:rPr>
          <w:rFonts w:hint="eastAsia" w:ascii="宋体" w:hAnsi="宋体" w:cs="宋体"/>
          <w:color w:val="auto"/>
          <w:spacing w:val="-2"/>
          <w:sz w:val="24"/>
          <w:szCs w:val="32"/>
          <w:highlight w:val="none"/>
        </w:rPr>
      </w:pPr>
      <w:r>
        <w:rPr>
          <w:rFonts w:hint="eastAsia" w:ascii="宋体" w:hAnsi="宋体" w:cs="宋体"/>
          <w:color w:val="auto"/>
          <w:spacing w:val="-2"/>
          <w:sz w:val="24"/>
          <w:szCs w:val="32"/>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9D173EE">
      <w:pPr>
        <w:keepNext w:val="0"/>
        <w:keepLines w:val="0"/>
        <w:pageBreakBefore w:val="0"/>
        <w:kinsoku/>
        <w:wordWrap/>
        <w:overflowPunct/>
        <w:topLinePunct w:val="0"/>
        <w:bidi w:val="0"/>
        <w:snapToGrid/>
        <w:spacing w:line="360" w:lineRule="auto"/>
        <w:ind w:firstLine="472" w:firstLineChars="200"/>
        <w:textAlignment w:val="auto"/>
        <w:outlineLvl w:val="9"/>
        <w:rPr>
          <w:rFonts w:hint="eastAsia" w:ascii="宋体" w:hAnsi="宋体" w:cs="宋体"/>
          <w:color w:val="auto"/>
          <w:spacing w:val="-2"/>
          <w:sz w:val="24"/>
          <w:szCs w:val="32"/>
          <w:highlight w:val="none"/>
        </w:rPr>
      </w:pPr>
      <w:r>
        <w:rPr>
          <w:rFonts w:hint="eastAsia" w:ascii="宋体" w:hAnsi="宋体" w:cs="宋体"/>
          <w:color w:val="auto"/>
          <w:spacing w:val="-2"/>
          <w:sz w:val="24"/>
          <w:szCs w:val="32"/>
          <w:highlight w:val="none"/>
        </w:rPr>
        <w:t>本单位对上述声明的真实性负责。如有虚假，将依法承担相应责任。</w:t>
      </w:r>
    </w:p>
    <w:p w14:paraId="7684DD79">
      <w:pPr>
        <w:keepNext w:val="0"/>
        <w:keepLines w:val="0"/>
        <w:pageBreakBefore w:val="0"/>
        <w:kinsoku/>
        <w:wordWrap/>
        <w:overflowPunct/>
        <w:topLinePunct w:val="0"/>
        <w:bidi w:val="0"/>
        <w:snapToGrid/>
        <w:spacing w:line="360" w:lineRule="auto"/>
        <w:ind w:firstLine="472" w:firstLineChars="200"/>
        <w:textAlignment w:val="auto"/>
        <w:outlineLvl w:val="9"/>
        <w:rPr>
          <w:rFonts w:hint="eastAsia" w:ascii="宋体" w:hAnsi="宋体" w:cs="宋体"/>
          <w:color w:val="auto"/>
          <w:spacing w:val="-2"/>
          <w:sz w:val="24"/>
          <w:szCs w:val="32"/>
          <w:highlight w:val="none"/>
        </w:rPr>
      </w:pPr>
    </w:p>
    <w:p w14:paraId="3A6E621C">
      <w:pPr>
        <w:keepNext w:val="0"/>
        <w:keepLines w:val="0"/>
        <w:pageBreakBefore w:val="0"/>
        <w:kinsoku/>
        <w:wordWrap/>
        <w:overflowPunct/>
        <w:topLinePunct w:val="0"/>
        <w:bidi w:val="0"/>
        <w:snapToGrid/>
        <w:spacing w:line="360" w:lineRule="auto"/>
        <w:ind w:firstLine="472" w:firstLineChars="200"/>
        <w:textAlignment w:val="auto"/>
        <w:outlineLvl w:val="9"/>
        <w:rPr>
          <w:rFonts w:hint="eastAsia" w:ascii="宋体" w:hAnsi="宋体" w:cs="宋体"/>
          <w:color w:val="auto"/>
          <w:spacing w:val="-2"/>
          <w:sz w:val="24"/>
          <w:szCs w:val="32"/>
          <w:highlight w:val="none"/>
        </w:rPr>
      </w:pPr>
    </w:p>
    <w:p w14:paraId="57E49787">
      <w:pPr>
        <w:keepNext w:val="0"/>
        <w:keepLines w:val="0"/>
        <w:pageBreakBefore w:val="0"/>
        <w:widowControl/>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p>
    <w:p w14:paraId="2A20B263">
      <w:pPr>
        <w:keepNext w:val="0"/>
        <w:keepLines w:val="0"/>
        <w:pageBreakBefore w:val="0"/>
        <w:widowControl/>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p>
    <w:p w14:paraId="4037DDB9">
      <w:pPr>
        <w:keepNext w:val="0"/>
        <w:keepLines w:val="0"/>
        <w:pageBreakBefore w:val="0"/>
        <w:widowControl/>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p>
    <w:p w14:paraId="51300DA7">
      <w:pPr>
        <w:keepNext w:val="0"/>
        <w:keepLines w:val="0"/>
        <w:pageBreakBefore w:val="0"/>
        <w:widowControl/>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p>
    <w:p w14:paraId="7BBACF86">
      <w:pPr>
        <w:keepNext w:val="0"/>
        <w:keepLines w:val="0"/>
        <w:pageBreakBefore w:val="0"/>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r>
        <w:rPr>
          <w:rFonts w:hint="eastAsia" w:ascii="宋体" w:hAnsi="宋体" w:cs="宋体"/>
          <w:color w:val="auto"/>
          <w:spacing w:val="-2"/>
          <w:sz w:val="24"/>
          <w:szCs w:val="32"/>
          <w:highlight w:val="none"/>
        </w:rPr>
        <w:t>单位名称：XXXX（盖单位公章）</w:t>
      </w:r>
    </w:p>
    <w:p w14:paraId="17E22FFD">
      <w:pPr>
        <w:keepNext w:val="0"/>
        <w:keepLines w:val="0"/>
        <w:pageBreakBefore w:val="0"/>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r>
        <w:rPr>
          <w:rFonts w:hint="eastAsia" w:ascii="宋体" w:hAnsi="宋体" w:cs="宋体"/>
          <w:color w:val="auto"/>
          <w:spacing w:val="-2"/>
          <w:sz w:val="24"/>
          <w:szCs w:val="32"/>
          <w:highlight w:val="none"/>
        </w:rPr>
        <w:t>法定代表人或授权代表（签字）：XXXX</w:t>
      </w:r>
    </w:p>
    <w:p w14:paraId="3D8557F3">
      <w:pPr>
        <w:keepNext w:val="0"/>
        <w:keepLines w:val="0"/>
        <w:pageBreakBefore w:val="0"/>
        <w:kinsoku/>
        <w:wordWrap/>
        <w:overflowPunct/>
        <w:topLinePunct w:val="0"/>
        <w:bidi w:val="0"/>
        <w:snapToGrid/>
        <w:spacing w:line="360" w:lineRule="auto"/>
        <w:ind w:firstLine="472" w:firstLineChars="200"/>
        <w:jc w:val="left"/>
        <w:textAlignment w:val="auto"/>
        <w:outlineLvl w:val="9"/>
        <w:rPr>
          <w:rFonts w:hint="eastAsia" w:ascii="宋体" w:hAnsi="宋体" w:cs="宋体"/>
          <w:color w:val="auto"/>
          <w:spacing w:val="-2"/>
          <w:sz w:val="24"/>
          <w:szCs w:val="32"/>
          <w:highlight w:val="none"/>
        </w:rPr>
      </w:pPr>
      <w:r>
        <w:rPr>
          <w:rFonts w:hint="eastAsia" w:ascii="宋体" w:hAnsi="宋体" w:cs="宋体"/>
          <w:color w:val="auto"/>
          <w:spacing w:val="-2"/>
          <w:sz w:val="24"/>
          <w:szCs w:val="32"/>
          <w:highlight w:val="none"/>
        </w:rPr>
        <w:t>日期：XXXX</w:t>
      </w:r>
    </w:p>
    <w:p w14:paraId="5F04CF93">
      <w:pPr>
        <w:keepNext w:val="0"/>
        <w:keepLines w:val="0"/>
        <w:pageBreakBefore w:val="0"/>
        <w:kinsoku/>
        <w:wordWrap/>
        <w:overflowPunct/>
        <w:topLinePunct w:val="0"/>
        <w:bidi w:val="0"/>
        <w:adjustRightInd w:val="0"/>
        <w:snapToGrid/>
        <w:spacing w:line="360" w:lineRule="auto"/>
        <w:ind w:left="420" w:leftChars="200" w:firstLine="360" w:firstLineChars="150"/>
        <w:jc w:val="left"/>
        <w:textAlignment w:val="auto"/>
        <w:outlineLvl w:val="9"/>
        <w:rPr>
          <w:rFonts w:hint="eastAsia" w:ascii="宋体" w:hAnsi="宋体" w:cs="宋体"/>
          <w:color w:val="auto"/>
          <w:sz w:val="24"/>
          <w:highlight w:val="none"/>
        </w:rPr>
      </w:pPr>
    </w:p>
    <w:p w14:paraId="3DCD7E7D">
      <w:pPr>
        <w:spacing w:line="576" w:lineRule="exact"/>
        <w:ind w:firstLine="480" w:firstLineChars="200"/>
        <w:rPr>
          <w:rFonts w:hint="eastAsia" w:ascii="宋体" w:hAnsi="宋体"/>
          <w:color w:val="auto"/>
          <w:sz w:val="24"/>
          <w:highlight w:val="none"/>
        </w:rPr>
      </w:pPr>
    </w:p>
    <w:p w14:paraId="394C3FD3">
      <w:pPr>
        <w:spacing w:line="360" w:lineRule="auto"/>
        <w:jc w:val="left"/>
        <w:rPr>
          <w:rFonts w:hint="eastAsia" w:ascii="宋体" w:hAnsi="宋体" w:eastAsia="宋体" w:cs="宋体"/>
          <w:color w:val="auto"/>
          <w:spacing w:val="-2"/>
          <w:sz w:val="24"/>
          <w:szCs w:val="32"/>
          <w:highlight w:val="none"/>
        </w:rPr>
      </w:pPr>
    </w:p>
    <w:p w14:paraId="7FA6766E">
      <w:pPr>
        <w:jc w:val="center"/>
        <w:rPr>
          <w:rFonts w:hint="eastAsia" w:ascii="宋体" w:hAnsi="宋体"/>
          <w:b/>
          <w:bCs/>
          <w:color w:val="auto"/>
          <w:sz w:val="32"/>
          <w:szCs w:val="32"/>
          <w:highlight w:val="none"/>
        </w:rPr>
      </w:pPr>
      <w:r>
        <w:rPr>
          <w:rFonts w:hint="eastAsia" w:ascii="宋体" w:hAnsi="宋体"/>
          <w:b/>
          <w:bCs/>
          <w:color w:val="auto"/>
          <w:sz w:val="32"/>
          <w:szCs w:val="32"/>
          <w:highlight w:val="none"/>
          <w:lang w:eastAsia="zh-CN"/>
        </w:rPr>
        <w:br w:type="page"/>
      </w:r>
      <w:r>
        <w:rPr>
          <w:rFonts w:hint="eastAsia" w:ascii="宋体" w:hAnsi="宋体"/>
          <w:b/>
          <w:bCs/>
          <w:color w:val="auto"/>
          <w:sz w:val="32"/>
          <w:szCs w:val="32"/>
          <w:highlight w:val="none"/>
          <w:lang w:eastAsia="zh-CN"/>
        </w:rPr>
        <w:t>十</w:t>
      </w:r>
      <w:r>
        <w:rPr>
          <w:rFonts w:hint="eastAsia" w:ascii="宋体" w:hAnsi="宋体"/>
          <w:b/>
          <w:bCs/>
          <w:color w:val="auto"/>
          <w:sz w:val="32"/>
          <w:szCs w:val="32"/>
          <w:highlight w:val="none"/>
        </w:rPr>
        <w:t>、技术、服务要求应答表</w:t>
      </w:r>
    </w:p>
    <w:p w14:paraId="0FD7B118">
      <w:pPr>
        <w:pStyle w:val="21"/>
        <w:pBdr>
          <w:bottom w:val="none" w:color="auto" w:sz="0" w:space="0"/>
        </w:pBdr>
        <w:tabs>
          <w:tab w:val="clear" w:pos="4153"/>
          <w:tab w:val="clear" w:pos="8306"/>
        </w:tabs>
        <w:snapToGrid/>
        <w:jc w:val="both"/>
        <w:rPr>
          <w:rFonts w:hint="eastAsia" w:ascii="宋体" w:hAnsi="宋体"/>
          <w:color w:val="auto"/>
          <w:sz w:val="24"/>
          <w:szCs w:val="24"/>
          <w:highlight w:val="none"/>
        </w:rPr>
      </w:pPr>
    </w:p>
    <w:tbl>
      <w:tblPr>
        <w:tblStyle w:val="32"/>
        <w:tblW w:w="8302" w:type="dxa"/>
        <w:tblInd w:w="7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7"/>
        <w:gridCol w:w="3488"/>
        <w:gridCol w:w="3567"/>
      </w:tblGrid>
      <w:tr w14:paraId="7B75E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247" w:type="dxa"/>
            <w:noWrap w:val="0"/>
            <w:vAlign w:val="center"/>
          </w:tcPr>
          <w:p w14:paraId="0F61DFE5">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序号</w:t>
            </w:r>
          </w:p>
        </w:tc>
        <w:tc>
          <w:tcPr>
            <w:tcW w:w="3488" w:type="dxa"/>
            <w:noWrap w:val="0"/>
            <w:vAlign w:val="center"/>
          </w:tcPr>
          <w:p w14:paraId="16A81E0D">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采购文件要求</w:t>
            </w:r>
          </w:p>
        </w:tc>
        <w:tc>
          <w:tcPr>
            <w:tcW w:w="3567" w:type="dxa"/>
            <w:noWrap w:val="0"/>
            <w:vAlign w:val="center"/>
          </w:tcPr>
          <w:p w14:paraId="6B06A61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响应文件响应</w:t>
            </w:r>
          </w:p>
        </w:tc>
      </w:tr>
      <w:tr w14:paraId="49E9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247" w:type="dxa"/>
            <w:noWrap w:val="0"/>
            <w:vAlign w:val="top"/>
          </w:tcPr>
          <w:p w14:paraId="28DA63D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488" w:type="dxa"/>
            <w:noWrap w:val="0"/>
            <w:vAlign w:val="top"/>
          </w:tcPr>
          <w:p w14:paraId="2D785621">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567" w:type="dxa"/>
            <w:noWrap w:val="0"/>
            <w:vAlign w:val="top"/>
          </w:tcPr>
          <w:p w14:paraId="3595D876">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r w14:paraId="6E09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247" w:type="dxa"/>
            <w:noWrap w:val="0"/>
            <w:vAlign w:val="top"/>
          </w:tcPr>
          <w:p w14:paraId="73F1E676">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488" w:type="dxa"/>
            <w:noWrap w:val="0"/>
            <w:vAlign w:val="top"/>
          </w:tcPr>
          <w:p w14:paraId="2D6ECC3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567" w:type="dxa"/>
            <w:noWrap w:val="0"/>
            <w:vAlign w:val="top"/>
          </w:tcPr>
          <w:p w14:paraId="49FB7EC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r w14:paraId="438BA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247" w:type="dxa"/>
            <w:noWrap w:val="0"/>
            <w:vAlign w:val="top"/>
          </w:tcPr>
          <w:p w14:paraId="0F36491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488" w:type="dxa"/>
            <w:noWrap w:val="0"/>
            <w:vAlign w:val="top"/>
          </w:tcPr>
          <w:p w14:paraId="7C8E6502">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567" w:type="dxa"/>
            <w:noWrap w:val="0"/>
            <w:vAlign w:val="top"/>
          </w:tcPr>
          <w:p w14:paraId="7ABB5094">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r w14:paraId="2D08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247" w:type="dxa"/>
            <w:noWrap w:val="0"/>
            <w:vAlign w:val="top"/>
          </w:tcPr>
          <w:p w14:paraId="0390272A">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488" w:type="dxa"/>
            <w:noWrap w:val="0"/>
            <w:vAlign w:val="top"/>
          </w:tcPr>
          <w:p w14:paraId="616F044C">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567" w:type="dxa"/>
            <w:noWrap w:val="0"/>
            <w:vAlign w:val="top"/>
          </w:tcPr>
          <w:p w14:paraId="461F7260">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bl>
    <w:p w14:paraId="03EE3DD4">
      <w:pPr>
        <w:ind w:firstLine="482" w:firstLineChars="200"/>
        <w:rPr>
          <w:rFonts w:hint="eastAsia" w:ascii="宋体" w:hAnsi="宋体"/>
          <w:b/>
          <w:color w:val="auto"/>
          <w:sz w:val="24"/>
          <w:highlight w:val="none"/>
        </w:rPr>
      </w:pPr>
    </w:p>
    <w:p w14:paraId="31B99AEC">
      <w:pPr>
        <w:widowControl/>
        <w:spacing w:line="360" w:lineRule="auto"/>
        <w:ind w:firstLine="480" w:firstLineChars="200"/>
        <w:rPr>
          <w:rFonts w:hint="eastAsia" w:ascii="宋体" w:hAnsi="宋体" w:cs="宋体"/>
          <w:color w:val="auto"/>
          <w:sz w:val="24"/>
          <w:highlight w:val="none"/>
        </w:rPr>
      </w:pPr>
      <w:bookmarkStart w:id="94" w:name="_Toc20036"/>
      <w:r>
        <w:rPr>
          <w:rFonts w:hint="eastAsia" w:ascii="宋体" w:hAnsi="宋体" w:cs="宋体"/>
          <w:color w:val="auto"/>
          <w:sz w:val="24"/>
          <w:highlight w:val="none"/>
        </w:rPr>
        <w:t>注：1.供应商至少填写响应文件中与采购文件有偏离（包括正偏离和负偏离）的内容，响应文件中项目技术、服务、及商务要求与采购文件（第五章 采购项目技术、服务、政府采购履约主要条款及其他商务要求）要求完全一致的，可以不用在此表中列出，但要在此表中明确其完全响应。</w:t>
      </w:r>
      <w:bookmarkEnd w:id="94"/>
    </w:p>
    <w:p w14:paraId="1BC8A90C">
      <w:pPr>
        <w:widowControl/>
        <w:spacing w:line="360" w:lineRule="auto"/>
        <w:ind w:firstLine="480" w:firstLineChars="200"/>
        <w:rPr>
          <w:rFonts w:hint="eastAsia" w:ascii="宋体" w:hAnsi="宋体" w:cs="宋体"/>
          <w:color w:val="auto"/>
          <w:sz w:val="24"/>
          <w:highlight w:val="none"/>
        </w:rPr>
      </w:pPr>
      <w:bookmarkStart w:id="95" w:name="_Toc10356"/>
      <w:r>
        <w:rPr>
          <w:rFonts w:hint="eastAsia" w:ascii="宋体" w:hAnsi="宋体" w:cs="宋体"/>
          <w:color w:val="auto"/>
          <w:sz w:val="24"/>
          <w:highlight w:val="none"/>
        </w:rPr>
        <w:t>2．供应商必须据实填写，不得虚假响应，其响应文件无效并按规定追究其相关责任。</w:t>
      </w:r>
      <w:bookmarkEnd w:id="95"/>
    </w:p>
    <w:p w14:paraId="03329A6E">
      <w:pPr>
        <w:adjustRightInd w:val="0"/>
        <w:spacing w:line="400" w:lineRule="exact"/>
        <w:ind w:firstLine="480" w:firstLineChars="200"/>
        <w:jc w:val="left"/>
        <w:rPr>
          <w:rFonts w:hint="eastAsia" w:ascii="宋体" w:hAnsi="宋体"/>
          <w:color w:val="auto"/>
          <w:sz w:val="24"/>
          <w:highlight w:val="none"/>
        </w:rPr>
      </w:pPr>
    </w:p>
    <w:p w14:paraId="632D91C0">
      <w:pPr>
        <w:adjustRightInd w:val="0"/>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5D08F0F0">
      <w:pPr>
        <w:adjustRightInd w:val="0"/>
        <w:spacing w:line="400" w:lineRule="exact"/>
        <w:ind w:firstLine="480" w:firstLineChars="200"/>
        <w:jc w:val="left"/>
        <w:rPr>
          <w:rFonts w:hint="eastAsia"/>
          <w:bCs/>
          <w:color w:val="auto"/>
          <w:sz w:val="24"/>
          <w:highlight w:val="none"/>
        </w:rPr>
      </w:pPr>
      <w:r>
        <w:rPr>
          <w:rFonts w:hint="eastAsia"/>
          <w:bCs/>
          <w:color w:val="auto"/>
          <w:sz w:val="24"/>
          <w:highlight w:val="none"/>
        </w:rPr>
        <w:t>法定代表人或授权代表（签字或盖章）：XXX</w:t>
      </w:r>
    </w:p>
    <w:p w14:paraId="44893290">
      <w:pPr>
        <w:adjustRightInd w:val="0"/>
        <w:spacing w:line="400" w:lineRule="exact"/>
        <w:ind w:firstLine="540" w:firstLineChars="225"/>
        <w:jc w:val="left"/>
        <w:rPr>
          <w:rFonts w:hint="eastAsia"/>
          <w:bCs/>
          <w:color w:val="auto"/>
          <w:sz w:val="24"/>
          <w:highlight w:val="none"/>
        </w:rPr>
      </w:pPr>
      <w:r>
        <w:rPr>
          <w:rFonts w:hint="eastAsia"/>
          <w:bCs/>
          <w:color w:val="auto"/>
          <w:sz w:val="24"/>
          <w:highlight w:val="none"/>
        </w:rPr>
        <w:t>日  期</w:t>
      </w:r>
      <w:r>
        <w:rPr>
          <w:rFonts w:hint="eastAsia" w:ascii="宋体" w:hAnsi="宋体"/>
          <w:color w:val="auto"/>
          <w:sz w:val="24"/>
          <w:highlight w:val="none"/>
        </w:rPr>
        <w:t>：</w:t>
      </w:r>
      <w:r>
        <w:rPr>
          <w:rFonts w:hint="eastAsia"/>
          <w:bCs/>
          <w:color w:val="auto"/>
          <w:sz w:val="24"/>
          <w:highlight w:val="none"/>
        </w:rPr>
        <w:t>XXX年XXX月XXX日</w:t>
      </w:r>
    </w:p>
    <w:p w14:paraId="7B85CE4C">
      <w:pPr>
        <w:spacing w:line="400" w:lineRule="exact"/>
        <w:rPr>
          <w:rFonts w:hint="eastAsia" w:ascii="宋体" w:hAnsi="宋体"/>
          <w:color w:val="auto"/>
          <w:highlight w:val="none"/>
        </w:rPr>
      </w:pPr>
    </w:p>
    <w:p w14:paraId="49589811">
      <w:pPr>
        <w:spacing w:line="400" w:lineRule="exact"/>
        <w:rPr>
          <w:rFonts w:hint="eastAsia" w:ascii="宋体" w:hAnsi="宋体"/>
          <w:color w:val="auto"/>
          <w:sz w:val="24"/>
          <w:highlight w:val="none"/>
        </w:rPr>
      </w:pPr>
    </w:p>
    <w:p w14:paraId="151F5B48">
      <w:pPr>
        <w:pStyle w:val="18"/>
        <w:tabs>
          <w:tab w:val="left" w:pos="0"/>
        </w:tabs>
        <w:jc w:val="center"/>
        <w:rPr>
          <w:rFonts w:hint="eastAsia"/>
          <w:b/>
          <w:color w:val="auto"/>
          <w:sz w:val="32"/>
          <w:szCs w:val="32"/>
          <w:highlight w:val="none"/>
        </w:rPr>
      </w:pPr>
      <w:bookmarkStart w:id="96" w:name="_Toc9358"/>
      <w:r>
        <w:rPr>
          <w:rFonts w:hint="eastAsia" w:ascii="宋体" w:hAnsi="宋体" w:cs="宋体"/>
          <w:color w:val="auto"/>
          <w:highlight w:val="none"/>
        </w:rPr>
        <w:br w:type="page"/>
      </w:r>
      <w:bookmarkEnd w:id="96"/>
      <w:r>
        <w:rPr>
          <w:rFonts w:hint="eastAsia"/>
          <w:b/>
          <w:color w:val="auto"/>
          <w:sz w:val="32"/>
          <w:szCs w:val="32"/>
          <w:highlight w:val="none"/>
          <w:lang w:eastAsia="zh-CN"/>
        </w:rPr>
        <w:t>十一</w:t>
      </w:r>
      <w:r>
        <w:rPr>
          <w:rFonts w:hint="eastAsia"/>
          <w:b/>
          <w:color w:val="auto"/>
          <w:sz w:val="32"/>
          <w:szCs w:val="32"/>
          <w:highlight w:val="none"/>
        </w:rPr>
        <w:t>、商务应答表</w:t>
      </w:r>
    </w:p>
    <w:p w14:paraId="39EEDA34">
      <w:pPr>
        <w:pStyle w:val="21"/>
        <w:pBdr>
          <w:bottom w:val="none" w:color="auto" w:sz="0" w:space="0"/>
        </w:pBdr>
        <w:tabs>
          <w:tab w:val="clear" w:pos="4153"/>
          <w:tab w:val="clear" w:pos="8306"/>
        </w:tabs>
        <w:snapToGrid/>
        <w:jc w:val="both"/>
        <w:rPr>
          <w:rFonts w:hint="eastAsia" w:ascii="宋体" w:hAnsi="宋体"/>
          <w:color w:val="auto"/>
          <w:sz w:val="24"/>
          <w:szCs w:val="24"/>
          <w:highlight w:val="none"/>
        </w:rPr>
      </w:pPr>
    </w:p>
    <w:tbl>
      <w:tblPr>
        <w:tblStyle w:val="32"/>
        <w:tblW w:w="8296" w:type="dxa"/>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3"/>
        <w:gridCol w:w="3192"/>
        <w:gridCol w:w="3381"/>
      </w:tblGrid>
      <w:tr w14:paraId="2F7F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723" w:type="dxa"/>
            <w:noWrap w:val="0"/>
            <w:vAlign w:val="center"/>
          </w:tcPr>
          <w:p w14:paraId="18718AF8">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序号</w:t>
            </w:r>
          </w:p>
        </w:tc>
        <w:tc>
          <w:tcPr>
            <w:tcW w:w="3192" w:type="dxa"/>
            <w:noWrap w:val="0"/>
            <w:vAlign w:val="center"/>
          </w:tcPr>
          <w:p w14:paraId="286E34B0">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采购文件要求</w:t>
            </w:r>
          </w:p>
        </w:tc>
        <w:tc>
          <w:tcPr>
            <w:tcW w:w="3381" w:type="dxa"/>
            <w:noWrap w:val="0"/>
            <w:vAlign w:val="center"/>
          </w:tcPr>
          <w:p w14:paraId="2B5CA41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r>
              <w:rPr>
                <w:rFonts w:hint="eastAsia" w:ascii="宋体" w:hAnsi="宋体" w:cs="Times New Roman"/>
                <w:color w:val="auto"/>
                <w:sz w:val="24"/>
                <w:highlight w:val="none"/>
              </w:rPr>
              <w:t>响应文件响应</w:t>
            </w:r>
          </w:p>
        </w:tc>
      </w:tr>
      <w:tr w14:paraId="55A5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723" w:type="dxa"/>
            <w:noWrap w:val="0"/>
            <w:vAlign w:val="top"/>
          </w:tcPr>
          <w:p w14:paraId="25BECAB6">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192" w:type="dxa"/>
            <w:noWrap w:val="0"/>
            <w:vAlign w:val="top"/>
          </w:tcPr>
          <w:p w14:paraId="3AC90835">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381" w:type="dxa"/>
            <w:noWrap w:val="0"/>
            <w:vAlign w:val="top"/>
          </w:tcPr>
          <w:p w14:paraId="3D49FE04">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r w14:paraId="0A85E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723" w:type="dxa"/>
            <w:noWrap w:val="0"/>
            <w:vAlign w:val="top"/>
          </w:tcPr>
          <w:p w14:paraId="6CA31339">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192" w:type="dxa"/>
            <w:noWrap w:val="0"/>
            <w:vAlign w:val="top"/>
          </w:tcPr>
          <w:p w14:paraId="3DA729E5">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381" w:type="dxa"/>
            <w:noWrap w:val="0"/>
            <w:vAlign w:val="top"/>
          </w:tcPr>
          <w:p w14:paraId="3B94B6DF">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r w14:paraId="0DEA6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723" w:type="dxa"/>
            <w:noWrap w:val="0"/>
            <w:vAlign w:val="top"/>
          </w:tcPr>
          <w:p w14:paraId="2EA9BB97">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192" w:type="dxa"/>
            <w:noWrap w:val="0"/>
            <w:vAlign w:val="top"/>
          </w:tcPr>
          <w:p w14:paraId="30DA763E">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381" w:type="dxa"/>
            <w:noWrap w:val="0"/>
            <w:vAlign w:val="top"/>
          </w:tcPr>
          <w:p w14:paraId="5743EFD0">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r w14:paraId="123C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1723" w:type="dxa"/>
            <w:noWrap w:val="0"/>
            <w:vAlign w:val="top"/>
          </w:tcPr>
          <w:p w14:paraId="4A5FF18D">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192" w:type="dxa"/>
            <w:noWrap w:val="0"/>
            <w:vAlign w:val="top"/>
          </w:tcPr>
          <w:p w14:paraId="41AD4080">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c>
          <w:tcPr>
            <w:tcW w:w="3381" w:type="dxa"/>
            <w:noWrap w:val="0"/>
            <w:vAlign w:val="top"/>
          </w:tcPr>
          <w:p w14:paraId="1EB537B4">
            <w:pPr>
              <w:keepNext w:val="0"/>
              <w:keepLines w:val="0"/>
              <w:suppressLineNumbers w:val="0"/>
              <w:spacing w:before="0" w:beforeAutospacing="0" w:after="0" w:afterAutospacing="0"/>
              <w:ind w:left="0" w:right="0"/>
              <w:jc w:val="center"/>
              <w:rPr>
                <w:rFonts w:hint="eastAsia" w:ascii="宋体" w:hAnsi="宋体" w:cs="Times New Roman"/>
                <w:color w:val="auto"/>
                <w:sz w:val="24"/>
                <w:highlight w:val="none"/>
              </w:rPr>
            </w:pPr>
          </w:p>
        </w:tc>
      </w:tr>
    </w:tbl>
    <w:p w14:paraId="057CA07D">
      <w:pPr>
        <w:ind w:firstLine="482" w:firstLineChars="200"/>
        <w:rPr>
          <w:rFonts w:hint="eastAsia" w:ascii="宋体" w:hAnsi="宋体"/>
          <w:b/>
          <w:color w:val="auto"/>
          <w:sz w:val="24"/>
          <w:highlight w:val="none"/>
        </w:rPr>
      </w:pPr>
    </w:p>
    <w:p w14:paraId="0E06D296">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注：1.供应商至少填写响应文件中与采购文件有偏离（包括正偏离和负偏离）的内容，响应文件中项目技术、服务、及商务要求与采购文件（第五章 采购项目技术、服务、政府采购履约主要条款及其他商务要求）要求完全一致的，可以不用在此表中列出，但要在此表中明确其完全响应。</w:t>
      </w:r>
    </w:p>
    <w:p w14:paraId="0DF3E3CF">
      <w:pPr>
        <w:widowControl/>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2．供应商必须据实填写，不得虚假响应，其响应文件无效并按规定追究其相关责任。</w:t>
      </w:r>
    </w:p>
    <w:p w14:paraId="07767850">
      <w:pPr>
        <w:adjustRightInd w:val="0"/>
        <w:spacing w:line="400" w:lineRule="exact"/>
        <w:ind w:firstLine="480" w:firstLineChars="200"/>
        <w:jc w:val="left"/>
        <w:rPr>
          <w:rFonts w:hint="eastAsia" w:ascii="宋体" w:hAnsi="宋体"/>
          <w:color w:val="auto"/>
          <w:sz w:val="24"/>
          <w:highlight w:val="none"/>
        </w:rPr>
      </w:pPr>
    </w:p>
    <w:p w14:paraId="017749DA">
      <w:pPr>
        <w:adjustRightInd w:val="0"/>
        <w:spacing w:line="400" w:lineRule="exact"/>
        <w:ind w:firstLine="480" w:firstLineChars="200"/>
        <w:jc w:val="left"/>
        <w:rPr>
          <w:rFonts w:hint="eastAsia" w:ascii="宋体" w:hAnsi="宋体"/>
          <w:color w:val="auto"/>
          <w:sz w:val="24"/>
          <w:highlight w:val="none"/>
        </w:rPr>
      </w:pPr>
      <w:r>
        <w:rPr>
          <w:rFonts w:hint="eastAsia" w:ascii="宋体" w:hAnsi="宋体"/>
          <w:color w:val="auto"/>
          <w:sz w:val="24"/>
          <w:highlight w:val="none"/>
        </w:rPr>
        <w:t>供应商人名称：XXX（盖单位公章）</w:t>
      </w:r>
    </w:p>
    <w:p w14:paraId="51259FC0">
      <w:pPr>
        <w:adjustRightInd w:val="0"/>
        <w:spacing w:line="400" w:lineRule="exact"/>
        <w:ind w:firstLine="540" w:firstLineChars="225"/>
        <w:jc w:val="left"/>
        <w:rPr>
          <w:rFonts w:hint="eastAsia"/>
          <w:bCs/>
          <w:color w:val="auto"/>
          <w:sz w:val="24"/>
          <w:highlight w:val="none"/>
        </w:rPr>
      </w:pPr>
      <w:r>
        <w:rPr>
          <w:rFonts w:hint="eastAsia"/>
          <w:bCs/>
          <w:color w:val="auto"/>
          <w:sz w:val="24"/>
          <w:highlight w:val="none"/>
        </w:rPr>
        <w:t>法定代表人或授权代表（签字或盖章）：XXX</w:t>
      </w:r>
    </w:p>
    <w:p w14:paraId="514D989D">
      <w:pPr>
        <w:adjustRightInd w:val="0"/>
        <w:spacing w:line="400" w:lineRule="exact"/>
        <w:ind w:firstLine="540" w:firstLineChars="225"/>
        <w:jc w:val="left"/>
        <w:rPr>
          <w:rFonts w:hint="eastAsia"/>
          <w:bCs/>
          <w:color w:val="auto"/>
          <w:sz w:val="24"/>
          <w:highlight w:val="none"/>
        </w:rPr>
      </w:pPr>
      <w:r>
        <w:rPr>
          <w:rFonts w:hint="eastAsia"/>
          <w:bCs/>
          <w:color w:val="auto"/>
          <w:sz w:val="24"/>
          <w:highlight w:val="none"/>
        </w:rPr>
        <w:t>日  期：XXX年XXX月XXX日</w:t>
      </w:r>
    </w:p>
    <w:p w14:paraId="4D3AAC00">
      <w:pPr>
        <w:spacing w:line="360" w:lineRule="auto"/>
        <w:rPr>
          <w:rFonts w:hint="eastAsia" w:ascii="宋体" w:hAnsi="宋体" w:cs="宋体"/>
          <w:b/>
          <w:bCs/>
          <w:color w:val="auto"/>
          <w:spacing w:val="6"/>
          <w:szCs w:val="21"/>
          <w:highlight w:val="none"/>
        </w:rPr>
      </w:pPr>
    </w:p>
    <w:p w14:paraId="68EC2D9F">
      <w:pPr>
        <w:jc w:val="left"/>
        <w:rPr>
          <w:rFonts w:hint="eastAsia" w:ascii="宋体" w:hAnsi="宋体"/>
          <w:color w:val="auto"/>
          <w:sz w:val="24"/>
          <w:highlight w:val="none"/>
        </w:rPr>
      </w:pPr>
    </w:p>
    <w:p w14:paraId="42E79746">
      <w:pPr>
        <w:spacing w:line="360" w:lineRule="auto"/>
        <w:jc w:val="center"/>
        <w:rPr>
          <w:rFonts w:hint="eastAsia"/>
          <w:b/>
          <w:color w:val="auto"/>
          <w:sz w:val="32"/>
          <w:szCs w:val="32"/>
          <w:highlight w:val="none"/>
        </w:rPr>
      </w:pPr>
      <w:r>
        <w:rPr>
          <w:rFonts w:hint="eastAsia" w:ascii="宋体" w:hAnsi="宋体" w:cs="宋体"/>
          <w:b/>
          <w:color w:val="auto"/>
          <w:spacing w:val="6"/>
          <w:sz w:val="24"/>
          <w:highlight w:val="none"/>
        </w:rPr>
        <w:br w:type="page"/>
      </w:r>
      <w:r>
        <w:rPr>
          <w:rFonts w:hint="eastAsia"/>
          <w:b/>
          <w:color w:val="auto"/>
          <w:sz w:val="32"/>
          <w:szCs w:val="32"/>
          <w:highlight w:val="none"/>
        </w:rPr>
        <w:t>十</w:t>
      </w:r>
      <w:r>
        <w:rPr>
          <w:rFonts w:hint="eastAsia"/>
          <w:b/>
          <w:color w:val="auto"/>
          <w:sz w:val="32"/>
          <w:szCs w:val="32"/>
          <w:highlight w:val="none"/>
          <w:lang w:eastAsia="zh-CN"/>
        </w:rPr>
        <w:t>二</w:t>
      </w:r>
      <w:r>
        <w:rPr>
          <w:rFonts w:hint="eastAsia"/>
          <w:b/>
          <w:color w:val="auto"/>
          <w:sz w:val="32"/>
          <w:szCs w:val="32"/>
          <w:highlight w:val="none"/>
        </w:rPr>
        <w:t>、供应商本项目管理、技术、服务人员情况表</w:t>
      </w:r>
    </w:p>
    <w:p w14:paraId="43713B94">
      <w:pPr>
        <w:rPr>
          <w:rFonts w:hint="eastAsia"/>
          <w:color w:val="auto"/>
          <w:sz w:val="32"/>
          <w:szCs w:val="32"/>
          <w:highlight w:val="none"/>
        </w:rPr>
      </w:pPr>
    </w:p>
    <w:p w14:paraId="254077C7">
      <w:pPr>
        <w:rPr>
          <w:rFonts w:hint="eastAsia"/>
          <w:color w:val="auto"/>
          <w:sz w:val="24"/>
          <w:highlight w:val="none"/>
        </w:rPr>
      </w:pPr>
      <w:r>
        <w:rPr>
          <w:rFonts w:hint="eastAsia"/>
          <w:color w:val="auto"/>
          <w:sz w:val="24"/>
          <w:highlight w:val="none"/>
        </w:rPr>
        <w:t>项目编号：</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1850"/>
      </w:tblGrid>
      <w:tr w14:paraId="2A450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768188D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类别</w:t>
            </w:r>
          </w:p>
        </w:tc>
        <w:tc>
          <w:tcPr>
            <w:tcW w:w="947" w:type="dxa"/>
            <w:vMerge w:val="restart"/>
            <w:noWrap w:val="0"/>
            <w:vAlign w:val="center"/>
          </w:tcPr>
          <w:p w14:paraId="19E15044">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职务</w:t>
            </w:r>
          </w:p>
        </w:tc>
        <w:tc>
          <w:tcPr>
            <w:tcW w:w="947" w:type="dxa"/>
            <w:vMerge w:val="restart"/>
            <w:noWrap w:val="0"/>
            <w:vAlign w:val="center"/>
          </w:tcPr>
          <w:p w14:paraId="5417ADD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姓名</w:t>
            </w:r>
          </w:p>
        </w:tc>
        <w:tc>
          <w:tcPr>
            <w:tcW w:w="947" w:type="dxa"/>
            <w:vMerge w:val="restart"/>
            <w:noWrap w:val="0"/>
            <w:vAlign w:val="center"/>
          </w:tcPr>
          <w:p w14:paraId="7444BBC9">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职称</w:t>
            </w:r>
          </w:p>
        </w:tc>
        <w:tc>
          <w:tcPr>
            <w:tcW w:w="947" w:type="dxa"/>
            <w:vMerge w:val="restart"/>
            <w:noWrap w:val="0"/>
            <w:vAlign w:val="center"/>
          </w:tcPr>
          <w:p w14:paraId="41E97B6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常住地</w:t>
            </w:r>
          </w:p>
        </w:tc>
        <w:tc>
          <w:tcPr>
            <w:tcW w:w="4691" w:type="dxa"/>
            <w:gridSpan w:val="4"/>
            <w:noWrap w:val="0"/>
            <w:vAlign w:val="center"/>
          </w:tcPr>
          <w:p w14:paraId="0AD5C08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资格证明（附复印件）</w:t>
            </w:r>
          </w:p>
        </w:tc>
      </w:tr>
      <w:tr w14:paraId="51F0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CF02EC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vMerge w:val="continue"/>
            <w:noWrap w:val="0"/>
            <w:vAlign w:val="center"/>
          </w:tcPr>
          <w:p w14:paraId="31F4394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vMerge w:val="continue"/>
            <w:noWrap w:val="0"/>
            <w:vAlign w:val="center"/>
          </w:tcPr>
          <w:p w14:paraId="37ADE11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vMerge w:val="continue"/>
            <w:noWrap w:val="0"/>
            <w:vAlign w:val="center"/>
          </w:tcPr>
          <w:p w14:paraId="3F2CDB8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vMerge w:val="continue"/>
            <w:noWrap w:val="0"/>
            <w:vAlign w:val="center"/>
          </w:tcPr>
          <w:p w14:paraId="071DEC68">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noWrap w:val="0"/>
            <w:vAlign w:val="center"/>
          </w:tcPr>
          <w:p w14:paraId="3F5851EA">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证书</w:t>
            </w:r>
          </w:p>
          <w:p w14:paraId="60F8F24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名称</w:t>
            </w:r>
          </w:p>
        </w:tc>
        <w:tc>
          <w:tcPr>
            <w:tcW w:w="947" w:type="dxa"/>
            <w:noWrap w:val="0"/>
            <w:vAlign w:val="center"/>
          </w:tcPr>
          <w:p w14:paraId="52E228D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级别</w:t>
            </w:r>
          </w:p>
        </w:tc>
        <w:tc>
          <w:tcPr>
            <w:tcW w:w="947" w:type="dxa"/>
            <w:noWrap w:val="0"/>
            <w:vAlign w:val="center"/>
          </w:tcPr>
          <w:p w14:paraId="68F0EB47">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证号</w:t>
            </w:r>
          </w:p>
        </w:tc>
        <w:tc>
          <w:tcPr>
            <w:tcW w:w="1850" w:type="dxa"/>
            <w:noWrap w:val="0"/>
            <w:vAlign w:val="center"/>
          </w:tcPr>
          <w:p w14:paraId="64E225DF">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专业</w:t>
            </w:r>
          </w:p>
        </w:tc>
      </w:tr>
      <w:tr w14:paraId="5898B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09C904A7">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管理</w:t>
            </w:r>
          </w:p>
          <w:p w14:paraId="6E3278E6">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人员</w:t>
            </w:r>
          </w:p>
        </w:tc>
        <w:tc>
          <w:tcPr>
            <w:tcW w:w="947" w:type="dxa"/>
            <w:noWrap w:val="0"/>
            <w:vAlign w:val="top"/>
          </w:tcPr>
          <w:p w14:paraId="3CE8ECB9">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010F32C">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1544FAF">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7655B04">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7EA041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ADD8D8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37B0C03A">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738114E8">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5AE3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9B71C8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noWrap w:val="0"/>
            <w:vAlign w:val="top"/>
          </w:tcPr>
          <w:p w14:paraId="7435AD39">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FDDACB1">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863B1A1">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3FD84BE">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13921A7">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3ABAE6A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2C94EE31">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46EFEA2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277F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BE2E83D">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noWrap w:val="0"/>
            <w:vAlign w:val="top"/>
          </w:tcPr>
          <w:p w14:paraId="3A8A228E">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C539BEA">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C00F4A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77F3C66">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38F49A54">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39F0291">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6A9D2D3">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18322487">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21D3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3841E9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技术</w:t>
            </w:r>
          </w:p>
          <w:p w14:paraId="53505667">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人员</w:t>
            </w:r>
          </w:p>
        </w:tc>
        <w:tc>
          <w:tcPr>
            <w:tcW w:w="947" w:type="dxa"/>
            <w:noWrap w:val="0"/>
            <w:vAlign w:val="top"/>
          </w:tcPr>
          <w:p w14:paraId="35B62547">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2E2E2C6">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22214628">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07B38F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01ADF7F">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ED41F83">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EB6ACCC">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18DC7621">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424D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295DFF9E">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noWrap w:val="0"/>
            <w:vAlign w:val="top"/>
          </w:tcPr>
          <w:p w14:paraId="5186E670">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58F0FC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312854E0">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21082D45">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3AA6424C">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8E399DF">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31839854">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60C5A5F6">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0159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55E7DB2">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p>
        </w:tc>
        <w:tc>
          <w:tcPr>
            <w:tcW w:w="947" w:type="dxa"/>
            <w:noWrap w:val="0"/>
            <w:vAlign w:val="top"/>
          </w:tcPr>
          <w:p w14:paraId="1622257E">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FDB8069">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DF7465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5C56302">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70132019">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3B8C6A7">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BCE0232">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521F3CF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6A5B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2CE7AE0">
            <w:pPr>
              <w:keepNext w:val="0"/>
              <w:keepLines w:val="0"/>
              <w:suppressLineNumbers w:val="0"/>
              <w:spacing w:before="0" w:beforeAutospacing="0" w:after="0" w:afterAutospacing="0"/>
              <w:ind w:left="0" w:right="0"/>
              <w:jc w:val="center"/>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售后服务人员</w:t>
            </w:r>
          </w:p>
        </w:tc>
        <w:tc>
          <w:tcPr>
            <w:tcW w:w="947" w:type="dxa"/>
            <w:noWrap w:val="0"/>
            <w:vAlign w:val="top"/>
          </w:tcPr>
          <w:p w14:paraId="0EBB8E97">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0D0C2A6">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2573A5AF">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9148284">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ADDB79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36B1F0D">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F4F0C2E">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745A3BFA">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33962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0E82C4B2">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119C646">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E010AD9">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D358611">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31CA42F">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27BB2ED6">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A687D34">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DCCC443">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791E5B74">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r w14:paraId="585DD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127427E3">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5BCFA5F9">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6922F2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471EE1A3">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1EE38477">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6AD5CCE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01C61860">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947" w:type="dxa"/>
            <w:noWrap w:val="0"/>
            <w:vAlign w:val="top"/>
          </w:tcPr>
          <w:p w14:paraId="260D4F7B">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c>
          <w:tcPr>
            <w:tcW w:w="1850" w:type="dxa"/>
            <w:noWrap w:val="0"/>
            <w:vAlign w:val="top"/>
          </w:tcPr>
          <w:p w14:paraId="2FD2DEE8">
            <w:pPr>
              <w:keepNext w:val="0"/>
              <w:keepLines w:val="0"/>
              <w:suppressLineNumbers w:val="0"/>
              <w:spacing w:before="0" w:beforeAutospacing="0" w:after="0" w:afterAutospacing="0"/>
              <w:ind w:left="0" w:right="0"/>
              <w:rPr>
                <w:rFonts w:hint="eastAsia" w:ascii="Times New Roman" w:hAnsi="Times New Roman" w:cs="Times New Roman"/>
                <w:color w:val="auto"/>
                <w:sz w:val="24"/>
                <w:highlight w:val="none"/>
              </w:rPr>
            </w:pPr>
          </w:p>
        </w:tc>
      </w:tr>
    </w:tbl>
    <w:p w14:paraId="32189417">
      <w:pPr>
        <w:rPr>
          <w:rFonts w:hint="eastAsia" w:ascii="宋体" w:hAnsi="宋体"/>
          <w:color w:val="auto"/>
          <w:sz w:val="24"/>
          <w:highlight w:val="none"/>
        </w:rPr>
      </w:pPr>
    </w:p>
    <w:p w14:paraId="2A662029">
      <w:pPr>
        <w:rPr>
          <w:rFonts w:hint="eastAsia" w:ascii="宋体" w:hAnsi="宋体"/>
          <w:color w:val="auto"/>
          <w:sz w:val="24"/>
          <w:highlight w:val="none"/>
        </w:rPr>
      </w:pPr>
    </w:p>
    <w:p w14:paraId="159F3942">
      <w:pPr>
        <w:rPr>
          <w:rFonts w:hint="eastAsia" w:ascii="宋体" w:hAnsi="宋体"/>
          <w:color w:val="auto"/>
          <w:sz w:val="24"/>
          <w:highlight w:val="none"/>
        </w:rPr>
      </w:pPr>
    </w:p>
    <w:p w14:paraId="1D54B112">
      <w:pPr>
        <w:rPr>
          <w:rFonts w:hint="eastAsia"/>
          <w:color w:val="auto"/>
          <w:sz w:val="24"/>
          <w:highlight w:val="none"/>
        </w:rPr>
      </w:pPr>
      <w:r>
        <w:rPr>
          <w:rFonts w:hint="eastAsia"/>
          <w:color w:val="auto"/>
          <w:sz w:val="24"/>
          <w:highlight w:val="none"/>
        </w:rPr>
        <w:t>供应商名称：XXX（盖单位公章）</w:t>
      </w:r>
    </w:p>
    <w:p w14:paraId="155958C3">
      <w:pPr>
        <w:rPr>
          <w:rFonts w:hint="eastAsia"/>
          <w:color w:val="auto"/>
          <w:sz w:val="24"/>
          <w:highlight w:val="none"/>
        </w:rPr>
      </w:pPr>
      <w:r>
        <w:rPr>
          <w:rFonts w:hint="eastAsia"/>
          <w:color w:val="auto"/>
          <w:sz w:val="24"/>
          <w:highlight w:val="none"/>
        </w:rPr>
        <w:t>法定代表人或授权代表（签字）：XXX</w:t>
      </w:r>
    </w:p>
    <w:p w14:paraId="18FC1CF0">
      <w:pPr>
        <w:rPr>
          <w:rFonts w:hint="eastAsia"/>
          <w:color w:val="auto"/>
          <w:sz w:val="24"/>
          <w:highlight w:val="none"/>
        </w:rPr>
      </w:pPr>
      <w:r>
        <w:rPr>
          <w:rFonts w:hint="eastAsia"/>
          <w:color w:val="auto"/>
          <w:sz w:val="24"/>
          <w:highlight w:val="none"/>
        </w:rPr>
        <w:t>日      期</w:t>
      </w:r>
      <w:r>
        <w:rPr>
          <w:rFonts w:hint="eastAsia" w:ascii="宋体" w:hAnsi="宋体"/>
          <w:color w:val="auto"/>
          <w:sz w:val="24"/>
          <w:highlight w:val="none"/>
        </w:rPr>
        <w:t>：</w:t>
      </w:r>
      <w:r>
        <w:rPr>
          <w:rFonts w:hint="eastAsia"/>
          <w:color w:val="auto"/>
          <w:sz w:val="24"/>
          <w:highlight w:val="none"/>
        </w:rPr>
        <w:t>XXX</w:t>
      </w:r>
    </w:p>
    <w:p w14:paraId="0C3EE562">
      <w:pPr>
        <w:pStyle w:val="7"/>
        <w:spacing w:line="360" w:lineRule="auto"/>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br w:type="page"/>
      </w:r>
      <w:bookmarkStart w:id="97" w:name="_Toc15144"/>
      <w:bookmarkStart w:id="98" w:name="_Toc11580"/>
      <w:bookmarkStart w:id="99" w:name="_Toc7727"/>
      <w:bookmarkStart w:id="100" w:name="_Toc16993"/>
      <w:bookmarkStart w:id="101" w:name="_Toc12974"/>
      <w:bookmarkStart w:id="102" w:name="_Toc28887"/>
      <w:bookmarkStart w:id="103" w:name="_Toc202290893"/>
      <w:bookmarkStart w:id="104" w:name="_Toc25777"/>
      <w:bookmarkStart w:id="105" w:name="_Toc2152"/>
      <w:r>
        <w:rPr>
          <w:rFonts w:hint="eastAsia" w:ascii="宋体" w:hAnsi="宋体" w:eastAsia="宋体" w:cs="宋体"/>
          <w:b/>
          <w:color w:val="auto"/>
          <w:sz w:val="32"/>
          <w:szCs w:val="32"/>
          <w:highlight w:val="none"/>
          <w:lang w:eastAsia="zh-CN"/>
        </w:rPr>
        <w:t>十三</w:t>
      </w:r>
      <w:r>
        <w:rPr>
          <w:rFonts w:hint="eastAsia" w:ascii="宋体" w:hAnsi="宋体" w:eastAsia="宋体" w:cs="宋体"/>
          <w:b/>
          <w:color w:val="auto"/>
          <w:sz w:val="32"/>
          <w:szCs w:val="32"/>
          <w:highlight w:val="none"/>
        </w:rPr>
        <w:t>、供</w:t>
      </w:r>
      <w:r>
        <w:rPr>
          <w:rFonts w:hint="eastAsia" w:ascii="宋体" w:hAnsi="宋体" w:cs="宋体"/>
          <w:b/>
          <w:color w:val="auto"/>
          <w:sz w:val="32"/>
          <w:szCs w:val="32"/>
          <w:highlight w:val="none"/>
        </w:rPr>
        <w:t>应商类似项目业绩一览表（若有）</w:t>
      </w:r>
    </w:p>
    <w:tbl>
      <w:tblPr>
        <w:tblStyle w:val="32"/>
        <w:tblpPr w:leftFromText="180" w:rightFromText="180" w:vertAnchor="text" w:horzAnchor="page" w:tblpXSpec="center" w:tblpY="118"/>
        <w:tblOverlap w:val="never"/>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889"/>
        <w:gridCol w:w="1404"/>
        <w:gridCol w:w="1973"/>
        <w:gridCol w:w="1160"/>
        <w:gridCol w:w="1626"/>
        <w:gridCol w:w="1166"/>
        <w:gridCol w:w="16"/>
      </w:tblGrid>
      <w:tr w14:paraId="600801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tcBorders>
              <w:top w:val="single" w:color="auto" w:sz="4" w:space="0"/>
            </w:tcBorders>
            <w:noWrap w:val="0"/>
            <w:vAlign w:val="center"/>
          </w:tcPr>
          <w:p w14:paraId="7C751EAA">
            <w:pPr>
              <w:keepNext w:val="0"/>
              <w:keepLines w:val="0"/>
              <w:suppressLineNumbers w:val="0"/>
              <w:spacing w:before="0" w:beforeAutospacing="0" w:after="0" w:afterAutospacing="0" w:line="360" w:lineRule="auto"/>
              <w:ind w:left="0" w:right="0" w:firstLine="316" w:firstLineChars="150"/>
              <w:jc w:val="left"/>
              <w:rPr>
                <w:rFonts w:hint="eastAsia" w:ascii="宋体" w:hAnsi="宋体" w:cs="宋体"/>
                <w:b/>
                <w:color w:val="auto"/>
                <w:highlight w:val="none"/>
              </w:rPr>
            </w:pPr>
            <w:r>
              <w:rPr>
                <w:rFonts w:hint="eastAsia" w:ascii="宋体" w:hAnsi="宋体" w:cs="宋体"/>
                <w:b/>
                <w:color w:val="auto"/>
                <w:highlight w:val="none"/>
              </w:rPr>
              <w:t>年份</w:t>
            </w:r>
          </w:p>
        </w:tc>
        <w:tc>
          <w:tcPr>
            <w:tcW w:w="1404" w:type="dxa"/>
            <w:noWrap w:val="0"/>
            <w:vAlign w:val="center"/>
          </w:tcPr>
          <w:p w14:paraId="49DC8F79">
            <w:pPr>
              <w:keepNext w:val="0"/>
              <w:keepLines w:val="0"/>
              <w:suppressLineNumbers w:val="0"/>
              <w:spacing w:before="0" w:beforeAutospacing="0" w:after="0" w:afterAutospacing="0" w:line="360" w:lineRule="auto"/>
              <w:ind w:left="0" w:right="0" w:firstLine="316" w:firstLineChars="150"/>
              <w:jc w:val="left"/>
              <w:rPr>
                <w:rFonts w:hint="eastAsia" w:ascii="宋体" w:hAnsi="宋体" w:cs="宋体"/>
                <w:b/>
                <w:color w:val="auto"/>
                <w:highlight w:val="none"/>
              </w:rPr>
            </w:pPr>
            <w:r>
              <w:rPr>
                <w:rFonts w:hint="eastAsia" w:ascii="宋体" w:hAnsi="宋体" w:cs="宋体"/>
                <w:b/>
                <w:color w:val="auto"/>
                <w:highlight w:val="none"/>
              </w:rPr>
              <w:t>用户名称</w:t>
            </w:r>
          </w:p>
        </w:tc>
        <w:tc>
          <w:tcPr>
            <w:tcW w:w="1973" w:type="dxa"/>
            <w:noWrap w:val="0"/>
            <w:vAlign w:val="center"/>
          </w:tcPr>
          <w:p w14:paraId="05F71426">
            <w:pPr>
              <w:keepNext w:val="0"/>
              <w:keepLines w:val="0"/>
              <w:suppressLineNumbers w:val="0"/>
              <w:spacing w:before="0" w:beforeAutospacing="0" w:after="0" w:afterAutospacing="0" w:line="360" w:lineRule="auto"/>
              <w:ind w:left="0" w:right="0" w:firstLine="316" w:firstLineChars="150"/>
              <w:jc w:val="left"/>
              <w:rPr>
                <w:rFonts w:hint="eastAsia" w:ascii="宋体" w:hAnsi="宋体" w:cs="宋体"/>
                <w:b/>
                <w:color w:val="auto"/>
                <w:highlight w:val="none"/>
              </w:rPr>
            </w:pPr>
            <w:r>
              <w:rPr>
                <w:rFonts w:hint="eastAsia" w:ascii="宋体" w:hAnsi="宋体" w:cs="宋体"/>
                <w:b/>
                <w:color w:val="auto"/>
                <w:highlight w:val="none"/>
              </w:rPr>
              <w:t>项目名称</w:t>
            </w:r>
          </w:p>
        </w:tc>
        <w:tc>
          <w:tcPr>
            <w:tcW w:w="1160" w:type="dxa"/>
            <w:noWrap w:val="0"/>
            <w:vAlign w:val="center"/>
          </w:tcPr>
          <w:p w14:paraId="39B4AA50">
            <w:pPr>
              <w:keepNext w:val="0"/>
              <w:keepLines w:val="0"/>
              <w:suppressLineNumbers w:val="0"/>
              <w:spacing w:before="0" w:beforeAutospacing="0" w:after="0" w:afterAutospacing="0" w:line="360" w:lineRule="auto"/>
              <w:ind w:left="0" w:right="0"/>
              <w:jc w:val="left"/>
              <w:rPr>
                <w:rFonts w:hint="eastAsia" w:ascii="宋体" w:hAnsi="宋体" w:cs="宋体"/>
                <w:b/>
                <w:color w:val="auto"/>
                <w:highlight w:val="none"/>
              </w:rPr>
            </w:pPr>
            <w:r>
              <w:rPr>
                <w:rFonts w:hint="eastAsia" w:ascii="宋体" w:hAnsi="宋体" w:cs="宋体"/>
                <w:b/>
                <w:color w:val="auto"/>
                <w:highlight w:val="none"/>
              </w:rPr>
              <w:t>完成时间</w:t>
            </w:r>
          </w:p>
        </w:tc>
        <w:tc>
          <w:tcPr>
            <w:tcW w:w="1626" w:type="dxa"/>
            <w:noWrap w:val="0"/>
            <w:vAlign w:val="center"/>
          </w:tcPr>
          <w:p w14:paraId="26AF14C5">
            <w:pPr>
              <w:keepNext w:val="0"/>
              <w:keepLines w:val="0"/>
              <w:suppressLineNumbers w:val="0"/>
              <w:spacing w:before="0" w:beforeAutospacing="0" w:after="0" w:afterAutospacing="0" w:line="360" w:lineRule="auto"/>
              <w:ind w:left="0" w:right="0" w:firstLine="316" w:firstLineChars="150"/>
              <w:jc w:val="left"/>
              <w:rPr>
                <w:rFonts w:hint="eastAsia" w:ascii="宋体" w:hAnsi="宋体" w:cs="宋体"/>
                <w:b/>
                <w:color w:val="auto"/>
                <w:highlight w:val="none"/>
              </w:rPr>
            </w:pPr>
            <w:r>
              <w:rPr>
                <w:rFonts w:hint="eastAsia" w:ascii="宋体" w:hAnsi="宋体" w:cs="宋体"/>
                <w:b/>
                <w:color w:val="auto"/>
                <w:highlight w:val="none"/>
              </w:rPr>
              <w:t>合同金额</w:t>
            </w:r>
          </w:p>
        </w:tc>
        <w:tc>
          <w:tcPr>
            <w:tcW w:w="1182" w:type="dxa"/>
            <w:gridSpan w:val="2"/>
            <w:tcBorders>
              <w:left w:val="single" w:color="auto" w:sz="4" w:space="0"/>
            </w:tcBorders>
            <w:noWrap w:val="0"/>
            <w:vAlign w:val="center"/>
          </w:tcPr>
          <w:p w14:paraId="54C3433C">
            <w:pPr>
              <w:keepNext w:val="0"/>
              <w:keepLines w:val="0"/>
              <w:suppressLineNumbers w:val="0"/>
              <w:spacing w:before="0" w:beforeAutospacing="0" w:after="0" w:afterAutospacing="0" w:line="360" w:lineRule="auto"/>
              <w:ind w:left="0" w:right="0" w:firstLine="316" w:firstLineChars="150"/>
              <w:jc w:val="left"/>
              <w:rPr>
                <w:rFonts w:hint="eastAsia" w:ascii="宋体" w:hAnsi="宋体" w:cs="宋体"/>
                <w:b/>
                <w:color w:val="auto"/>
                <w:highlight w:val="none"/>
              </w:rPr>
            </w:pPr>
            <w:r>
              <w:rPr>
                <w:rFonts w:hint="eastAsia" w:ascii="宋体" w:hAnsi="宋体" w:cs="宋体"/>
                <w:b/>
                <w:color w:val="auto"/>
                <w:highlight w:val="none"/>
              </w:rPr>
              <w:t>备注</w:t>
            </w:r>
          </w:p>
        </w:tc>
      </w:tr>
      <w:tr w14:paraId="02A491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5F560C7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noWrap w:val="0"/>
            <w:vAlign w:val="center"/>
          </w:tcPr>
          <w:p w14:paraId="7DA5F82D">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noWrap w:val="0"/>
            <w:vAlign w:val="center"/>
          </w:tcPr>
          <w:p w14:paraId="4C43D2D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77660142">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noWrap w:val="0"/>
            <w:vAlign w:val="center"/>
          </w:tcPr>
          <w:p w14:paraId="4802B3A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6BC9EBE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401247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383C4A74">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noWrap w:val="0"/>
            <w:vAlign w:val="center"/>
          </w:tcPr>
          <w:p w14:paraId="3536761E">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noWrap w:val="0"/>
            <w:vAlign w:val="center"/>
          </w:tcPr>
          <w:p w14:paraId="745C129E">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1660472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noWrap w:val="0"/>
            <w:vAlign w:val="center"/>
          </w:tcPr>
          <w:p w14:paraId="4BFFAF5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682B524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4F505F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2CA0B6B9">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noWrap w:val="0"/>
            <w:vAlign w:val="center"/>
          </w:tcPr>
          <w:p w14:paraId="04B4779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noWrap w:val="0"/>
            <w:vAlign w:val="center"/>
          </w:tcPr>
          <w:p w14:paraId="3CF79FDE">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7783D4AD">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noWrap w:val="0"/>
            <w:vAlign w:val="center"/>
          </w:tcPr>
          <w:p w14:paraId="60979649">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69BF9BA9">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11259A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22FDAEA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right w:val="single" w:color="auto" w:sz="4" w:space="0"/>
            </w:tcBorders>
            <w:noWrap w:val="0"/>
            <w:vAlign w:val="center"/>
          </w:tcPr>
          <w:p w14:paraId="2DE854A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left w:val="single" w:color="auto" w:sz="4" w:space="0"/>
            </w:tcBorders>
            <w:noWrap w:val="0"/>
            <w:vAlign w:val="center"/>
          </w:tcPr>
          <w:p w14:paraId="7322E26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708412AF">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noWrap w:val="0"/>
            <w:vAlign w:val="center"/>
          </w:tcPr>
          <w:p w14:paraId="477CD9E9">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5D142DE9">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2EAE59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gridAfter w:val="1"/>
          <w:wAfter w:w="16" w:type="dxa"/>
          <w:cantSplit/>
          <w:trHeight w:val="600" w:hRule="atLeast"/>
          <w:jc w:val="center"/>
        </w:trPr>
        <w:tc>
          <w:tcPr>
            <w:tcW w:w="889" w:type="dxa"/>
            <w:tcBorders>
              <w:right w:val="single" w:color="auto" w:sz="4" w:space="0"/>
            </w:tcBorders>
            <w:noWrap w:val="0"/>
            <w:vAlign w:val="center"/>
          </w:tcPr>
          <w:p w14:paraId="6B9BAD2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left w:val="single" w:color="auto" w:sz="4" w:space="0"/>
              <w:right w:val="single" w:color="auto" w:sz="4" w:space="0"/>
            </w:tcBorders>
            <w:noWrap w:val="0"/>
            <w:vAlign w:val="center"/>
          </w:tcPr>
          <w:p w14:paraId="38CCD7A6">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left w:val="single" w:color="auto" w:sz="4" w:space="0"/>
              <w:right w:val="single" w:color="auto" w:sz="4" w:space="0"/>
            </w:tcBorders>
            <w:noWrap w:val="0"/>
            <w:vAlign w:val="center"/>
          </w:tcPr>
          <w:p w14:paraId="1FA5997E">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tcBorders>
              <w:left w:val="single" w:color="auto" w:sz="4" w:space="0"/>
              <w:right w:val="single" w:color="auto" w:sz="4" w:space="0"/>
            </w:tcBorders>
            <w:noWrap w:val="0"/>
            <w:vAlign w:val="center"/>
          </w:tcPr>
          <w:p w14:paraId="75BD0DA2">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left w:val="single" w:color="auto" w:sz="4" w:space="0"/>
              <w:right w:val="single" w:color="auto" w:sz="4" w:space="0"/>
            </w:tcBorders>
            <w:noWrap w:val="0"/>
            <w:vAlign w:val="center"/>
          </w:tcPr>
          <w:p w14:paraId="33B8F436">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6" w:type="dxa"/>
            <w:tcBorders>
              <w:left w:val="single" w:color="auto" w:sz="4" w:space="0"/>
            </w:tcBorders>
            <w:noWrap w:val="0"/>
            <w:vAlign w:val="center"/>
          </w:tcPr>
          <w:p w14:paraId="47721D09">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1D00D0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6E51772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noWrap w:val="0"/>
            <w:vAlign w:val="center"/>
          </w:tcPr>
          <w:p w14:paraId="16052D90">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noWrap w:val="0"/>
            <w:vAlign w:val="center"/>
          </w:tcPr>
          <w:p w14:paraId="784C0982">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0B1AB1A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right w:val="single" w:color="auto" w:sz="4" w:space="0"/>
            </w:tcBorders>
            <w:noWrap w:val="0"/>
            <w:vAlign w:val="center"/>
          </w:tcPr>
          <w:p w14:paraId="4A91AE64">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46217921">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157BDD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6FD16936">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noWrap w:val="0"/>
            <w:vAlign w:val="center"/>
          </w:tcPr>
          <w:p w14:paraId="28B5583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noWrap w:val="0"/>
            <w:vAlign w:val="center"/>
          </w:tcPr>
          <w:p w14:paraId="4E27548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19F2E35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right w:val="single" w:color="auto" w:sz="4" w:space="0"/>
            </w:tcBorders>
            <w:noWrap w:val="0"/>
            <w:vAlign w:val="center"/>
          </w:tcPr>
          <w:p w14:paraId="4A467810">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220AC7AA">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168B747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889" w:type="dxa"/>
            <w:noWrap w:val="0"/>
            <w:vAlign w:val="center"/>
          </w:tcPr>
          <w:p w14:paraId="447D795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noWrap w:val="0"/>
            <w:vAlign w:val="center"/>
          </w:tcPr>
          <w:p w14:paraId="343F42F0">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noWrap w:val="0"/>
            <w:vAlign w:val="center"/>
          </w:tcPr>
          <w:p w14:paraId="4186D66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noWrap w:val="0"/>
            <w:vAlign w:val="center"/>
          </w:tcPr>
          <w:p w14:paraId="046186D6">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right w:val="single" w:color="auto" w:sz="4" w:space="0"/>
            </w:tcBorders>
            <w:noWrap w:val="0"/>
            <w:vAlign w:val="center"/>
          </w:tcPr>
          <w:p w14:paraId="54C5FA88">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tcBorders>
            <w:noWrap w:val="0"/>
            <w:vAlign w:val="center"/>
          </w:tcPr>
          <w:p w14:paraId="77F85F2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440D8C1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889" w:type="dxa"/>
            <w:tcBorders>
              <w:bottom w:val="single" w:color="auto" w:sz="4" w:space="0"/>
            </w:tcBorders>
            <w:noWrap w:val="0"/>
            <w:vAlign w:val="center"/>
          </w:tcPr>
          <w:p w14:paraId="3AD81E1F">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bottom w:val="single" w:color="auto" w:sz="4" w:space="0"/>
            </w:tcBorders>
            <w:noWrap w:val="0"/>
            <w:vAlign w:val="center"/>
          </w:tcPr>
          <w:p w14:paraId="2FBC3E6A">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bottom w:val="single" w:color="auto" w:sz="4" w:space="0"/>
            </w:tcBorders>
            <w:noWrap w:val="0"/>
            <w:vAlign w:val="center"/>
          </w:tcPr>
          <w:p w14:paraId="7A3E80A3">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tcBorders>
              <w:bottom w:val="single" w:color="auto" w:sz="4" w:space="0"/>
            </w:tcBorders>
            <w:noWrap w:val="0"/>
            <w:vAlign w:val="center"/>
          </w:tcPr>
          <w:p w14:paraId="15C7D7F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bottom w:val="single" w:color="auto" w:sz="4" w:space="0"/>
              <w:right w:val="single" w:color="auto" w:sz="4" w:space="0"/>
            </w:tcBorders>
            <w:noWrap w:val="0"/>
            <w:vAlign w:val="center"/>
          </w:tcPr>
          <w:p w14:paraId="7D4CC33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left w:val="single" w:color="auto" w:sz="4" w:space="0"/>
              <w:bottom w:val="single" w:color="auto" w:sz="4" w:space="0"/>
            </w:tcBorders>
            <w:noWrap w:val="0"/>
            <w:vAlign w:val="center"/>
          </w:tcPr>
          <w:p w14:paraId="305308CB">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48FD3C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889" w:type="dxa"/>
            <w:tcBorders>
              <w:top w:val="single" w:color="auto" w:sz="4" w:space="0"/>
              <w:bottom w:val="single" w:color="auto" w:sz="4" w:space="0"/>
            </w:tcBorders>
            <w:noWrap w:val="0"/>
            <w:vAlign w:val="center"/>
          </w:tcPr>
          <w:p w14:paraId="11C5DDCF">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top w:val="single" w:color="auto" w:sz="4" w:space="0"/>
              <w:bottom w:val="single" w:color="auto" w:sz="4" w:space="0"/>
            </w:tcBorders>
            <w:noWrap w:val="0"/>
            <w:vAlign w:val="center"/>
          </w:tcPr>
          <w:p w14:paraId="5D7C2330">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top w:val="single" w:color="auto" w:sz="4" w:space="0"/>
              <w:bottom w:val="single" w:color="auto" w:sz="4" w:space="0"/>
            </w:tcBorders>
            <w:noWrap w:val="0"/>
            <w:vAlign w:val="center"/>
          </w:tcPr>
          <w:p w14:paraId="2E87EA7E">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tcBorders>
              <w:top w:val="single" w:color="auto" w:sz="4" w:space="0"/>
              <w:bottom w:val="single" w:color="auto" w:sz="4" w:space="0"/>
            </w:tcBorders>
            <w:noWrap w:val="0"/>
            <w:vAlign w:val="center"/>
          </w:tcPr>
          <w:p w14:paraId="76E5579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top w:val="single" w:color="auto" w:sz="4" w:space="0"/>
              <w:bottom w:val="single" w:color="auto" w:sz="4" w:space="0"/>
              <w:right w:val="single" w:color="auto" w:sz="4" w:space="0"/>
            </w:tcBorders>
            <w:noWrap w:val="0"/>
            <w:vAlign w:val="center"/>
          </w:tcPr>
          <w:p w14:paraId="4345D58F">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top w:val="single" w:color="auto" w:sz="4" w:space="0"/>
              <w:left w:val="single" w:color="auto" w:sz="4" w:space="0"/>
              <w:bottom w:val="single" w:color="auto" w:sz="4" w:space="0"/>
            </w:tcBorders>
            <w:noWrap w:val="0"/>
            <w:vAlign w:val="center"/>
          </w:tcPr>
          <w:p w14:paraId="14768B91">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6E353B5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889" w:type="dxa"/>
            <w:tcBorders>
              <w:top w:val="single" w:color="auto" w:sz="4" w:space="0"/>
              <w:bottom w:val="single" w:color="auto" w:sz="4" w:space="0"/>
            </w:tcBorders>
            <w:noWrap w:val="0"/>
            <w:vAlign w:val="center"/>
          </w:tcPr>
          <w:p w14:paraId="152DCD8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top w:val="single" w:color="auto" w:sz="4" w:space="0"/>
              <w:bottom w:val="single" w:color="auto" w:sz="4" w:space="0"/>
            </w:tcBorders>
            <w:noWrap w:val="0"/>
            <w:vAlign w:val="center"/>
          </w:tcPr>
          <w:p w14:paraId="54D14FB2">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top w:val="single" w:color="auto" w:sz="4" w:space="0"/>
              <w:bottom w:val="single" w:color="auto" w:sz="4" w:space="0"/>
            </w:tcBorders>
            <w:noWrap w:val="0"/>
            <w:vAlign w:val="center"/>
          </w:tcPr>
          <w:p w14:paraId="717FA9B1">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tcBorders>
              <w:top w:val="single" w:color="auto" w:sz="4" w:space="0"/>
              <w:bottom w:val="single" w:color="auto" w:sz="4" w:space="0"/>
            </w:tcBorders>
            <w:noWrap w:val="0"/>
            <w:vAlign w:val="center"/>
          </w:tcPr>
          <w:p w14:paraId="74102A11">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top w:val="single" w:color="auto" w:sz="4" w:space="0"/>
              <w:bottom w:val="single" w:color="auto" w:sz="4" w:space="0"/>
              <w:right w:val="single" w:color="auto" w:sz="4" w:space="0"/>
            </w:tcBorders>
            <w:noWrap w:val="0"/>
            <w:vAlign w:val="center"/>
          </w:tcPr>
          <w:p w14:paraId="57075814">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top w:val="single" w:color="auto" w:sz="4" w:space="0"/>
              <w:left w:val="single" w:color="auto" w:sz="4" w:space="0"/>
              <w:bottom w:val="single" w:color="auto" w:sz="4" w:space="0"/>
            </w:tcBorders>
            <w:noWrap w:val="0"/>
            <w:vAlign w:val="center"/>
          </w:tcPr>
          <w:p w14:paraId="543D223F">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232E00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889" w:type="dxa"/>
            <w:tcBorders>
              <w:top w:val="single" w:color="auto" w:sz="4" w:space="0"/>
              <w:bottom w:val="single" w:color="auto" w:sz="4" w:space="0"/>
            </w:tcBorders>
            <w:noWrap w:val="0"/>
            <w:vAlign w:val="center"/>
          </w:tcPr>
          <w:p w14:paraId="5C0C49FA">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top w:val="single" w:color="auto" w:sz="4" w:space="0"/>
              <w:bottom w:val="single" w:color="auto" w:sz="4" w:space="0"/>
            </w:tcBorders>
            <w:noWrap w:val="0"/>
            <w:vAlign w:val="center"/>
          </w:tcPr>
          <w:p w14:paraId="32ADFEA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top w:val="single" w:color="auto" w:sz="4" w:space="0"/>
              <w:bottom w:val="single" w:color="auto" w:sz="4" w:space="0"/>
            </w:tcBorders>
            <w:noWrap w:val="0"/>
            <w:vAlign w:val="center"/>
          </w:tcPr>
          <w:p w14:paraId="63DC7D2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tcBorders>
              <w:top w:val="single" w:color="auto" w:sz="4" w:space="0"/>
              <w:bottom w:val="single" w:color="auto" w:sz="4" w:space="0"/>
            </w:tcBorders>
            <w:noWrap w:val="0"/>
            <w:vAlign w:val="center"/>
          </w:tcPr>
          <w:p w14:paraId="28E4EFDC">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top w:val="single" w:color="auto" w:sz="4" w:space="0"/>
              <w:bottom w:val="single" w:color="auto" w:sz="4" w:space="0"/>
              <w:right w:val="single" w:color="auto" w:sz="4" w:space="0"/>
            </w:tcBorders>
            <w:noWrap w:val="0"/>
            <w:vAlign w:val="center"/>
          </w:tcPr>
          <w:p w14:paraId="34F24225">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top w:val="single" w:color="auto" w:sz="4" w:space="0"/>
              <w:left w:val="single" w:color="auto" w:sz="4" w:space="0"/>
              <w:bottom w:val="single" w:color="auto" w:sz="4" w:space="0"/>
            </w:tcBorders>
            <w:noWrap w:val="0"/>
            <w:vAlign w:val="center"/>
          </w:tcPr>
          <w:p w14:paraId="5A23643F">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r w14:paraId="6E469C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889" w:type="dxa"/>
            <w:tcBorders>
              <w:top w:val="single" w:color="auto" w:sz="4" w:space="0"/>
            </w:tcBorders>
            <w:noWrap w:val="0"/>
            <w:vAlign w:val="center"/>
          </w:tcPr>
          <w:p w14:paraId="290AA697">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404" w:type="dxa"/>
            <w:tcBorders>
              <w:top w:val="single" w:color="auto" w:sz="4" w:space="0"/>
            </w:tcBorders>
            <w:noWrap w:val="0"/>
            <w:vAlign w:val="center"/>
          </w:tcPr>
          <w:p w14:paraId="72501C2A">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973" w:type="dxa"/>
            <w:tcBorders>
              <w:top w:val="single" w:color="auto" w:sz="4" w:space="0"/>
            </w:tcBorders>
            <w:noWrap w:val="0"/>
            <w:vAlign w:val="center"/>
          </w:tcPr>
          <w:p w14:paraId="621C5F48">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60" w:type="dxa"/>
            <w:tcBorders>
              <w:top w:val="single" w:color="auto" w:sz="4" w:space="0"/>
            </w:tcBorders>
            <w:noWrap w:val="0"/>
            <w:vAlign w:val="center"/>
          </w:tcPr>
          <w:p w14:paraId="28DEFEC8">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626" w:type="dxa"/>
            <w:tcBorders>
              <w:top w:val="single" w:color="auto" w:sz="4" w:space="0"/>
              <w:right w:val="single" w:color="auto" w:sz="4" w:space="0"/>
            </w:tcBorders>
            <w:noWrap w:val="0"/>
            <w:vAlign w:val="center"/>
          </w:tcPr>
          <w:p w14:paraId="5ED04ADA">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c>
          <w:tcPr>
            <w:tcW w:w="1182" w:type="dxa"/>
            <w:gridSpan w:val="2"/>
            <w:tcBorders>
              <w:top w:val="single" w:color="auto" w:sz="4" w:space="0"/>
              <w:left w:val="single" w:color="auto" w:sz="4" w:space="0"/>
            </w:tcBorders>
            <w:noWrap w:val="0"/>
            <w:vAlign w:val="center"/>
          </w:tcPr>
          <w:p w14:paraId="1F8932CA">
            <w:pPr>
              <w:keepNext w:val="0"/>
              <w:keepLines w:val="0"/>
              <w:suppressLineNumbers w:val="0"/>
              <w:spacing w:before="0" w:beforeAutospacing="0" w:after="0" w:afterAutospacing="0" w:line="360" w:lineRule="auto"/>
              <w:ind w:left="0" w:right="0" w:firstLine="315" w:firstLineChars="150"/>
              <w:jc w:val="left"/>
              <w:rPr>
                <w:rFonts w:hint="eastAsia" w:ascii="宋体" w:hAnsi="宋体" w:cs="宋体"/>
                <w:color w:val="auto"/>
                <w:highlight w:val="none"/>
              </w:rPr>
            </w:pPr>
          </w:p>
        </w:tc>
      </w:tr>
    </w:tbl>
    <w:p w14:paraId="62815655">
      <w:pPr>
        <w:tabs>
          <w:tab w:val="left" w:pos="555"/>
          <w:tab w:val="left" w:pos="2214"/>
          <w:tab w:val="left" w:pos="3774"/>
          <w:tab w:val="left" w:pos="4854"/>
          <w:tab w:val="left" w:pos="5934"/>
          <w:tab w:val="left" w:pos="7014"/>
          <w:tab w:val="left" w:pos="8214"/>
          <w:tab w:val="left" w:pos="10134"/>
          <w:tab w:val="left" w:pos="11124"/>
        </w:tabs>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注：供应商（仅限于供应商自己的）以上业绩需按要求提供有关书面证明材料。</w:t>
      </w:r>
    </w:p>
    <w:p w14:paraId="72324D16">
      <w:pPr>
        <w:adjustRightInd w:val="0"/>
        <w:spacing w:line="360" w:lineRule="auto"/>
        <w:ind w:firstLine="360" w:firstLineChars="150"/>
        <w:jc w:val="left"/>
        <w:rPr>
          <w:rFonts w:hint="eastAsia" w:ascii="宋体" w:hAnsi="宋体" w:cs="宋体"/>
          <w:color w:val="auto"/>
          <w:sz w:val="24"/>
          <w:highlight w:val="none"/>
        </w:rPr>
      </w:pPr>
    </w:p>
    <w:p w14:paraId="0D71F3B9">
      <w:pPr>
        <w:adjustRightIn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供应商名称：XXX（盖单位公章）</w:t>
      </w:r>
    </w:p>
    <w:p w14:paraId="322EB27C">
      <w:pPr>
        <w:adjustRightInd w:val="0"/>
        <w:spacing w:line="360"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日期：XXX年XXX月XXX日</w:t>
      </w:r>
    </w:p>
    <w:p w14:paraId="0C4564FB">
      <w:pPr>
        <w:spacing w:line="360" w:lineRule="auto"/>
        <w:jc w:val="center"/>
        <w:rPr>
          <w:rFonts w:hint="eastAsia" w:ascii="宋体" w:hAnsi="宋体" w:eastAsia="宋体" w:cs="宋体"/>
          <w:b/>
          <w:bCs/>
          <w:color w:val="auto"/>
          <w:kern w:val="2"/>
          <w:sz w:val="34"/>
          <w:szCs w:val="20"/>
          <w:highlight w:val="none"/>
          <w:lang w:val="en-US" w:eastAsia="zh-CN" w:bidi="ar-SA"/>
        </w:rPr>
      </w:pPr>
      <w:r>
        <w:rPr>
          <w:rFonts w:hint="eastAsia" w:ascii="宋体" w:hAnsi="宋体" w:cs="宋体"/>
          <w:color w:val="auto"/>
          <w:sz w:val="24"/>
          <w:highlight w:val="none"/>
        </w:rPr>
        <w:br w:type="page"/>
      </w:r>
      <w:r>
        <w:rPr>
          <w:rFonts w:hint="eastAsia" w:ascii="宋体" w:hAnsi="宋体" w:eastAsia="宋体" w:cs="宋体"/>
          <w:b/>
          <w:bCs/>
          <w:color w:val="auto"/>
          <w:kern w:val="2"/>
          <w:sz w:val="34"/>
          <w:szCs w:val="20"/>
          <w:highlight w:val="none"/>
          <w:lang w:val="en-US" w:eastAsia="zh-CN" w:bidi="ar-SA"/>
        </w:rPr>
        <w:t>十四、供应商诚信情况承诺函</w:t>
      </w:r>
    </w:p>
    <w:p w14:paraId="31B7E9B8">
      <w:pPr>
        <w:spacing w:line="360" w:lineRule="auto"/>
        <w:rPr>
          <w:rFonts w:ascii="仿宋" w:hAnsi="仿宋" w:eastAsia="仿宋"/>
          <w:color w:val="auto"/>
          <w:sz w:val="24"/>
          <w:szCs w:val="24"/>
        </w:rPr>
      </w:pPr>
    </w:p>
    <w:p w14:paraId="291F56CA">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highlight w:val="none"/>
          <w:lang w:val="en-US" w:eastAsia="zh-CN"/>
        </w:rPr>
        <w:t>四川信息职业技术学院</w:t>
      </w:r>
      <w:r>
        <w:rPr>
          <w:rFonts w:hint="eastAsia" w:ascii="宋体" w:hAnsi="宋体" w:eastAsia="宋体" w:cs="宋体"/>
          <w:color w:val="auto"/>
          <w:sz w:val="24"/>
          <w:szCs w:val="24"/>
        </w:rPr>
        <w:t>：</w:t>
      </w:r>
    </w:p>
    <w:p w14:paraId="7F2E52BF">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本单位</w:t>
      </w:r>
      <w:r>
        <w:rPr>
          <w:rFonts w:hint="eastAsia" w:ascii="宋体" w:hAnsi="宋体" w:eastAsia="宋体" w:cs="宋体"/>
          <w:color w:val="auto"/>
          <w:sz w:val="24"/>
          <w:szCs w:val="24"/>
          <w:u w:val="single"/>
        </w:rPr>
        <w:t>XXXX（供应商名称）</w:t>
      </w:r>
      <w:r>
        <w:rPr>
          <w:rFonts w:hint="eastAsia" w:ascii="宋体" w:hAnsi="宋体" w:eastAsia="宋体" w:cs="宋体"/>
          <w:color w:val="auto"/>
          <w:sz w:val="24"/>
          <w:szCs w:val="24"/>
        </w:rPr>
        <w:t>参加</w:t>
      </w:r>
      <w:r>
        <w:rPr>
          <w:rFonts w:hint="eastAsia" w:ascii="宋体" w:hAnsi="宋体" w:eastAsia="宋体" w:cs="宋体"/>
          <w:color w:val="auto"/>
          <w:sz w:val="24"/>
          <w:szCs w:val="24"/>
          <w:u w:val="single"/>
        </w:rPr>
        <w:t>XXXX（项目名称及采购编号）</w:t>
      </w:r>
      <w:r>
        <w:rPr>
          <w:rFonts w:hint="eastAsia" w:ascii="宋体" w:hAnsi="宋体" w:eastAsia="宋体" w:cs="宋体"/>
          <w:color w:val="auto"/>
          <w:sz w:val="24"/>
          <w:szCs w:val="24"/>
        </w:rPr>
        <w:t>的政府采购活动，现根据《四川省政府采购当事人诚信管理办法》（川财采[2015]33号）的相关规定，针对本单位的诚信情况作出以下承诺：</w:t>
      </w:r>
    </w:p>
    <w:p w14:paraId="31A2589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具有《四川省公共资源交易领域严重失信联合惩戒实施办法》（川发改信用规〔2019〕405号）、《关于对政府采购领域严重违法失信主体开展联合惩戒的合作备忘录》（发改财金〔2018〕1614号）等规定的失信行为</w:t>
      </w:r>
      <w:r>
        <w:rPr>
          <w:rFonts w:hint="eastAsia" w:ascii="宋体" w:hAnsi="宋体" w:eastAsia="宋体" w:cs="宋体"/>
          <w:color w:val="auto"/>
          <w:sz w:val="24"/>
          <w:szCs w:val="24"/>
          <w:u w:val="single"/>
        </w:rPr>
        <w:t>XXXX</w:t>
      </w:r>
      <w:r>
        <w:rPr>
          <w:rFonts w:hint="eastAsia" w:ascii="宋体" w:hAnsi="宋体" w:eastAsia="宋体" w:cs="宋体"/>
          <w:color w:val="auto"/>
          <w:sz w:val="24"/>
          <w:szCs w:val="24"/>
        </w:rPr>
        <w:t>次（填写失信行为的次数时，建议使用大写数字，如零、壹、贰、叁、肆等。）；（仅限递交响应文件截止当日仍在有效期的次数）</w:t>
      </w:r>
    </w:p>
    <w:p w14:paraId="124EF8E8">
      <w:pPr>
        <w:spacing w:line="360" w:lineRule="auto"/>
        <w:ind w:firstLine="480" w:firstLineChars="200"/>
        <w:rPr>
          <w:rFonts w:hint="eastAsia" w:ascii="宋体" w:hAnsi="宋体" w:eastAsia="宋体" w:cs="宋体"/>
          <w:color w:val="auto"/>
          <w:sz w:val="24"/>
          <w:szCs w:val="24"/>
        </w:rPr>
      </w:pPr>
    </w:p>
    <w:p w14:paraId="41CF4F18">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我单位对以上填写信息的真实性负责。如有不实，本单位愿承担由此产生的一切法律责任和后果。</w:t>
      </w:r>
    </w:p>
    <w:p w14:paraId="16EE0E61">
      <w:pPr>
        <w:spacing w:line="360" w:lineRule="auto"/>
        <w:rPr>
          <w:rFonts w:hint="eastAsia" w:ascii="宋体" w:hAnsi="宋体" w:eastAsia="宋体" w:cs="宋体"/>
          <w:color w:val="auto"/>
          <w:sz w:val="24"/>
          <w:szCs w:val="24"/>
        </w:rPr>
      </w:pPr>
    </w:p>
    <w:p w14:paraId="74A3959B">
      <w:pPr>
        <w:widowControl/>
        <w:spacing w:line="360" w:lineRule="auto"/>
        <w:ind w:firstLine="470" w:firstLineChars="196"/>
        <w:jc w:val="left"/>
        <w:outlineLvl w:val="1"/>
        <w:rPr>
          <w:rFonts w:hint="eastAsia" w:ascii="宋体" w:hAnsi="宋体" w:eastAsia="宋体" w:cs="宋体"/>
          <w:color w:val="auto"/>
          <w:sz w:val="24"/>
          <w:szCs w:val="24"/>
        </w:rPr>
      </w:pPr>
      <w:r>
        <w:rPr>
          <w:rFonts w:hint="eastAsia" w:ascii="宋体" w:hAnsi="宋体" w:eastAsia="宋体" w:cs="宋体"/>
          <w:color w:val="auto"/>
          <w:sz w:val="24"/>
          <w:szCs w:val="24"/>
        </w:rPr>
        <w:t>供应商名称：XXXX（单位盖章）。</w:t>
      </w:r>
    </w:p>
    <w:p w14:paraId="0AA2CAC6">
      <w:pPr>
        <w:widowControl/>
        <w:spacing w:line="360" w:lineRule="auto"/>
        <w:ind w:firstLine="470" w:firstLineChars="196"/>
        <w:jc w:val="left"/>
        <w:outlineLvl w:val="1"/>
        <w:rPr>
          <w:rFonts w:hint="eastAsia" w:ascii="宋体" w:hAnsi="宋体" w:eastAsia="宋体" w:cs="宋体"/>
          <w:color w:val="auto"/>
          <w:sz w:val="24"/>
          <w:szCs w:val="24"/>
        </w:rPr>
      </w:pPr>
      <w:r>
        <w:rPr>
          <w:rFonts w:hint="eastAsia" w:ascii="宋体" w:hAnsi="宋体" w:eastAsia="宋体" w:cs="宋体"/>
          <w:color w:val="auto"/>
          <w:sz w:val="24"/>
          <w:szCs w:val="24"/>
        </w:rPr>
        <w:t>递交响应文件截止日期: XXXX。</w:t>
      </w:r>
    </w:p>
    <w:p w14:paraId="63DF211E">
      <w:pPr>
        <w:spacing w:line="360" w:lineRule="auto"/>
        <w:rPr>
          <w:rFonts w:ascii="仿宋" w:hAnsi="仿宋" w:eastAsia="仿宋"/>
          <w:color w:val="auto"/>
          <w:sz w:val="24"/>
          <w:szCs w:val="24"/>
        </w:rPr>
      </w:pPr>
    </w:p>
    <w:p w14:paraId="65991734">
      <w:pPr>
        <w:spacing w:line="360" w:lineRule="auto"/>
        <w:rPr>
          <w:rFonts w:ascii="仿宋" w:hAnsi="仿宋" w:eastAsia="仿宋"/>
          <w:color w:val="auto"/>
          <w:sz w:val="24"/>
          <w:szCs w:val="24"/>
        </w:rPr>
      </w:pPr>
    </w:p>
    <w:p w14:paraId="26E4AEFB">
      <w:pPr>
        <w:spacing w:line="360" w:lineRule="auto"/>
        <w:rPr>
          <w:rFonts w:ascii="仿宋" w:hAnsi="仿宋" w:eastAsia="仿宋"/>
          <w:color w:val="auto"/>
          <w:sz w:val="24"/>
          <w:szCs w:val="24"/>
        </w:rPr>
      </w:pPr>
      <w:r>
        <w:rPr>
          <w:rFonts w:hint="eastAsia" w:ascii="仿宋" w:hAnsi="仿宋" w:eastAsia="仿宋" w:cs="仿宋"/>
          <w:color w:val="auto"/>
          <w:sz w:val="24"/>
          <w:szCs w:val="24"/>
        </w:rPr>
        <w:t>注：</w:t>
      </w:r>
    </w:p>
    <w:p w14:paraId="35F32EF3">
      <w:pPr>
        <w:spacing w:line="360" w:lineRule="auto"/>
        <w:rPr>
          <w:rFonts w:ascii="仿宋" w:hAnsi="仿宋" w:eastAsia="仿宋"/>
          <w:color w:val="auto"/>
          <w:sz w:val="24"/>
          <w:szCs w:val="24"/>
        </w:rPr>
      </w:pPr>
      <w:r>
        <w:rPr>
          <w:rFonts w:ascii="仿宋" w:hAnsi="仿宋" w:eastAsia="仿宋" w:cs="仿宋"/>
          <w:color w:val="auto"/>
          <w:sz w:val="24"/>
          <w:szCs w:val="24"/>
        </w:rPr>
        <w:t>1</w:t>
      </w:r>
      <w:r>
        <w:rPr>
          <w:rFonts w:hint="eastAsia" w:ascii="仿宋" w:hAnsi="仿宋" w:eastAsia="仿宋" w:cs="仿宋"/>
          <w:color w:val="auto"/>
          <w:sz w:val="24"/>
          <w:szCs w:val="24"/>
        </w:rPr>
        <w:t>、本表格式及内容仅供参考，供应商也可提供自己的格式；</w:t>
      </w:r>
    </w:p>
    <w:p w14:paraId="4E13049C">
      <w:pPr>
        <w:adjustRightInd w:val="0"/>
        <w:spacing w:line="360" w:lineRule="auto"/>
        <w:ind w:firstLine="360" w:firstLineChars="150"/>
        <w:jc w:val="center"/>
        <w:rPr>
          <w:rFonts w:hint="eastAsia" w:ascii="仿宋" w:hAnsi="仿宋" w:eastAsia="仿宋" w:cs="仿宋"/>
          <w:color w:val="auto"/>
          <w:sz w:val="24"/>
          <w:szCs w:val="24"/>
        </w:rPr>
      </w:pPr>
      <w:r>
        <w:rPr>
          <w:rFonts w:ascii="仿宋" w:hAnsi="仿宋" w:eastAsia="仿宋" w:cs="仿宋"/>
          <w:color w:val="auto"/>
          <w:sz w:val="24"/>
          <w:szCs w:val="24"/>
        </w:rPr>
        <w:t>2</w:t>
      </w:r>
      <w:r>
        <w:rPr>
          <w:rFonts w:hint="eastAsia" w:ascii="仿宋" w:hAnsi="仿宋" w:eastAsia="仿宋" w:cs="仿宋"/>
          <w:color w:val="auto"/>
          <w:sz w:val="24"/>
          <w:szCs w:val="24"/>
        </w:rPr>
        <w:t>、供应商存在以上所述失信行为的，将按照第二章磋商须知附表的要求进行处理</w:t>
      </w:r>
    </w:p>
    <w:p w14:paraId="2F1C4904">
      <w:pPr>
        <w:widowControl/>
        <w:adjustRightInd w:val="0"/>
        <w:snapToGrid w:val="0"/>
        <w:spacing w:line="360" w:lineRule="auto"/>
        <w:jc w:val="center"/>
        <w:outlineLvl w:val="0"/>
        <w:rPr>
          <w:rFonts w:hint="eastAsia" w:ascii="宋体" w:hAnsi="宋体" w:cs="宋体"/>
          <w:color w:val="auto"/>
          <w:sz w:val="32"/>
          <w:szCs w:val="32"/>
          <w:highlight w:val="none"/>
        </w:rPr>
      </w:pPr>
      <w:r>
        <w:rPr>
          <w:rFonts w:hint="eastAsia" w:ascii="仿宋" w:hAnsi="仿宋" w:eastAsia="仿宋" w:cs="仿宋"/>
          <w:color w:val="FF0000"/>
          <w:sz w:val="24"/>
          <w:szCs w:val="24"/>
        </w:rPr>
        <w:br w:type="page"/>
      </w:r>
      <w:bookmarkEnd w:id="97"/>
      <w:bookmarkStart w:id="106" w:name="_Toc16351"/>
      <w:r>
        <w:rPr>
          <w:rFonts w:hint="eastAsia" w:ascii="宋体" w:hAnsi="宋体" w:cs="宋体"/>
          <w:b/>
          <w:color w:val="auto"/>
          <w:sz w:val="32"/>
          <w:szCs w:val="32"/>
          <w:highlight w:val="none"/>
        </w:rPr>
        <w:t>第九章  评审方法</w:t>
      </w:r>
      <w:bookmarkEnd w:id="98"/>
      <w:bookmarkEnd w:id="99"/>
      <w:bookmarkEnd w:id="100"/>
      <w:bookmarkEnd w:id="101"/>
      <w:bookmarkEnd w:id="102"/>
      <w:bookmarkEnd w:id="103"/>
      <w:bookmarkEnd w:id="104"/>
      <w:bookmarkEnd w:id="105"/>
      <w:bookmarkEnd w:id="106"/>
    </w:p>
    <w:p w14:paraId="6A8A6F29">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1.总则</w:t>
      </w:r>
    </w:p>
    <w:p w14:paraId="7B9E1F51">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1.1根据《中华人民共和国政府采购法》、《中华人民共和国政府采购法实施条例》、《政府采购竞争性磋商采购方式管理暂行办法》等法律制度，结合本采购项目特点制定本磋商方法。</w:t>
      </w:r>
    </w:p>
    <w:p w14:paraId="4F866262">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1.2磋商工作由采购人/采购代理机构负责组织，具体磋商由采购人/采购代理机构依法组建的磋商小组负责。</w:t>
      </w:r>
    </w:p>
    <w:p w14:paraId="62A850EB">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1.3磋商工作应遵循公平、公正、科学及择优的原则，并以相同的磋商程序和标准对待所有的供应商。</w:t>
      </w:r>
    </w:p>
    <w:p w14:paraId="3C09312C">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1.4磋商小组按照磋商文件规定的磋商程序、评分方法和标准进行评审，并独立履行下列职责：</w:t>
      </w:r>
    </w:p>
    <w:p w14:paraId="0CB43BE5">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（一）熟悉和理解磋商文件，确定磋商文件内容是否违反国家有关强制性规定或者磋商文件存在歧义、重大缺陷，根据需要书面要求采购人、采购代理机构对磋商文件作出解释；</w:t>
      </w:r>
    </w:p>
    <w:p w14:paraId="34B7BFAF">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（二）审查供应商响应文件是否满足磋商文件要求，并作出公正评价；</w:t>
      </w:r>
    </w:p>
    <w:p w14:paraId="6D9A0E0B">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（三）根据需要要求供应商对响应文件中含义不明确、同类问题表述不一致或者有明显文字和计算错误的内容等作出必要的澄清、说明或者更正；</w:t>
      </w:r>
    </w:p>
    <w:p w14:paraId="147C4AA0">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（四）推荐成交供应商，或者受采购人委托确定成交供应商；</w:t>
      </w:r>
    </w:p>
    <w:p w14:paraId="25C9B0CB">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（五）起草评审报告并进行签署；</w:t>
      </w:r>
    </w:p>
    <w:p w14:paraId="4EB47CA7">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（六）向采购人/采购代理机构、财政部门或者其他监督部门报告非法干预评审工作的行为；</w:t>
      </w:r>
    </w:p>
    <w:p w14:paraId="31787E09">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（七）法律、法规和规章规定的其他职责。</w:t>
      </w:r>
    </w:p>
    <w:p w14:paraId="5191106D">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1.5 （实质性要求）磋商过程独立、保密。供应商非法干预磋商过程的，其响应文件作无效处理。</w:t>
      </w:r>
    </w:p>
    <w:p w14:paraId="2F7DD413">
      <w:pPr>
        <w:keepNext w:val="0"/>
        <w:keepLines w:val="0"/>
        <w:pageBreakBefore w:val="0"/>
        <w:kinsoku/>
        <w:overflowPunct/>
        <w:topLinePunct w:val="0"/>
        <w:bidi w:val="0"/>
        <w:ind w:firstLine="413"/>
        <w:textAlignment w:val="auto"/>
        <w:outlineLvl w:val="9"/>
        <w:rPr>
          <w:rFonts w:hint="eastAsia"/>
          <w:b w:val="0"/>
          <w:bCs w:val="0"/>
          <w:color w:val="auto"/>
          <w:highlight w:val="none"/>
        </w:rPr>
      </w:pPr>
    </w:p>
    <w:p w14:paraId="77B8E4DE">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2.磋商程序</w:t>
      </w:r>
    </w:p>
    <w:p w14:paraId="3CF926EA">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2.1审查磋商文件和停止评审。</w:t>
      </w:r>
    </w:p>
    <w:p w14:paraId="02B689CE">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2.1.1 磋商小组正式评审前，应当对磋商文件进行熟悉和理解，内容主要包括磋商文件中供应商资格条件要求、采购项目技术、服务和商务要求、磋商办法和标准、政府采购政策要求以及政府采购合同主要条款等。</w:t>
      </w:r>
    </w:p>
    <w:p w14:paraId="1AC66830">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2.1.2 本磋商文件有下列情形之一的，磋商小组应当停止评审：</w:t>
      </w:r>
    </w:p>
    <w:p w14:paraId="4F566EEC">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（1）磋商文件的规定存在歧义、重大缺陷的；</w:t>
      </w:r>
    </w:p>
    <w:p w14:paraId="3CA3DB05">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（2）磋商文件明显以不合理条件对供应商实行差别待遇或者歧视待遇的；</w:t>
      </w:r>
    </w:p>
    <w:p w14:paraId="388D45F7">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（3）采购项目属于国家规定的优先、强制采购范围，但是磋商文件未依法体现优先、强制采购相关规定的；</w:t>
      </w:r>
    </w:p>
    <w:p w14:paraId="609703F9">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（4）采购项目属于政府采购促进中小企业发展的范围，但是磋商文件未依法体现促进中小企业发展相关规定的；</w:t>
      </w:r>
    </w:p>
    <w:p w14:paraId="2A5A7CCF">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（5）磋商文件将供应商的资格条件列为评分因素的；</w:t>
      </w:r>
    </w:p>
    <w:p w14:paraId="02A8BC76">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（6）磋商文件载明的成交原则不合法的；</w:t>
      </w:r>
    </w:p>
    <w:p w14:paraId="157D1555">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（7）磋商文件有违反国家其他有关强制性规定的情形。</w:t>
      </w:r>
    </w:p>
    <w:p w14:paraId="63D57F6E">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2.1.3出现本条2.1.2规定应当停止评审情形的，磋商小组应当向采购人书面说明情况。除本条规定的情形外，磋商小组不得以任何方式和理由停止评审。</w:t>
      </w:r>
    </w:p>
    <w:p w14:paraId="2E38A4A9">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2.2资格性审查。</w:t>
      </w:r>
    </w:p>
    <w:p w14:paraId="08EBAF9A">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2.2.1本项目需要磋商小组进行资格性检查。</w:t>
      </w:r>
    </w:p>
    <w:p w14:paraId="0D034D2C">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磋商小组应依据法律法规和磋商文件的规定，对响应文件是否按照规定要求提供资格性证明材料、是否属于禁止参加磋商的供应商等进行审查，以确定供应商是否具备磋商资格。</w:t>
      </w:r>
    </w:p>
    <w:p w14:paraId="2BD2D3CC">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2.2.2资格性审查结束后，磋商小组应当出具资格性审查报告，没有通过资格审查的供应商，磋商小组应当在资格审查报告中说明原因。</w:t>
      </w:r>
    </w:p>
    <w:p w14:paraId="51F77630">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2.2.3磋商小组应依据磋商文件规定的实质性要求，对符合资格的响应文件进行有效性、完整性和响应程度审查，以确定参加磋商的供应商名单。</w:t>
      </w:r>
    </w:p>
    <w:p w14:paraId="3539C62A">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2.2.4采购人或者采购代理机构宣布未通过资格性审查的供应商名单时，应当告知供应商未通过审查的原因。</w:t>
      </w:r>
    </w:p>
    <w:p w14:paraId="390F2904">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2.3通过资格性审查的供应商不足</w:t>
      </w:r>
      <w:r>
        <w:rPr>
          <w:rFonts w:hint="eastAsia" w:ascii="宋体" w:hAnsi="宋体" w:eastAsia="宋体"/>
          <w:b w:val="0"/>
          <w:bCs w:val="0"/>
          <w:color w:val="auto"/>
          <w:sz w:val="24"/>
          <w:szCs w:val="24"/>
          <w:highlight w:val="none"/>
          <w:lang w:val="en-US" w:eastAsia="zh-CN"/>
        </w:rPr>
        <w:t>3家</w:t>
      </w:r>
      <w:r>
        <w:rPr>
          <w:rFonts w:hint="eastAsia" w:ascii="宋体" w:hAnsi="宋体" w:eastAsia="宋体"/>
          <w:b w:val="0"/>
          <w:bCs w:val="0"/>
          <w:color w:val="auto"/>
          <w:sz w:val="24"/>
          <w:szCs w:val="24"/>
          <w:highlight w:val="none"/>
        </w:rPr>
        <w:t>的，终止本次采购活动，并发布终止采购活动公告。</w:t>
      </w:r>
    </w:p>
    <w:p w14:paraId="286C9DF2">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2.4磋商。</w:t>
      </w:r>
    </w:p>
    <w:p w14:paraId="5BD177E7">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2.4.1磋商小组所有成员集中与单一供应商分别进行一轮或多轮磋商，并给予所有参加磋商的供应商平等的磋商机会。磋商顺序以现场抽签的方式确定。磋商过程中，磋商小组可以根据磋商情况调整磋商轮次。</w:t>
      </w:r>
    </w:p>
    <w:p w14:paraId="55C4A6C5">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2.4.2每轮磋商开始前，磋商小组应根据磋商文件的规定，并结合各供应商的响应文件拟定磋商内容。</w:t>
      </w:r>
    </w:p>
    <w:p w14:paraId="678875C2">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2.4.3在磋商过程中，磋商小组可以根据磋商文件和磋商情况实质性变动磋商文件的技术、服务要求以及合同草案条款，但不得变动磋商文件中的其他内容。实质性变动的内容，须经采购人代表书面确认。</w:t>
      </w:r>
    </w:p>
    <w:p w14:paraId="214404E1">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2.4.4对磋商文件作出的实质性变动是磋商文件的有效组成部分，磋商小组应当及时以书面形式同时通知所有参加磋商的供应商。</w:t>
      </w:r>
    </w:p>
    <w:p w14:paraId="3D6A3BE7">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2.4.5磋商过程中，磋商文件变动的，供应商应当按照磋商文件的变动情况和磋商小组的要求重新提交响应文件，并由其法定代表人/主要负责人/本人或其授权代表签字或者加盖公章。磋商过程中，供应商根据磋商情况自行决定变更其响应文件的，磋商小组不得拒绝，并应当给予供应商必要的时间，但是供应商变更其响应文件，应当以有利于满足磋商文件要求为原则，不得变更为不利于满足磋商文件规定，否则，其响应文件作为无效处理。</w:t>
      </w:r>
    </w:p>
    <w:p w14:paraId="751EEF45">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2.4.6磋商过程中，磋商的任何一方不得透露与磋商有关的其他供应商的技术资料、价格和其他信息。</w:t>
      </w:r>
    </w:p>
    <w:p w14:paraId="591C07F6">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2.4.7磋商过程中，磋商小组发现或者知晓供应商存在违法、违纪行为的，磋商小组应当将该供应商响应文件作无效处理，不允许其提交最后报价。</w:t>
      </w:r>
    </w:p>
    <w:p w14:paraId="597188AD">
      <w:pPr>
        <w:keepNext w:val="0"/>
        <w:keepLines w:val="0"/>
        <w:pageBreakBefore w:val="0"/>
        <w:kinsoku/>
        <w:overflowPunct/>
        <w:topLinePunct w:val="0"/>
        <w:bidi w:val="0"/>
        <w:spacing w:before="0" w:after="0" w:line="400" w:lineRule="exact"/>
        <w:ind w:firstLine="470" w:firstLineChars="196"/>
        <w:textAlignment w:val="auto"/>
        <w:outlineLvl w:val="9"/>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2.4.8磋商完成后，磋商小组应出具磋商情况记录表，磋商情况记录表需包含磋商内容、磋商意见、实质性变动内容等。</w:t>
      </w:r>
    </w:p>
    <w:p w14:paraId="708B866A">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2.5最后报价。</w:t>
      </w:r>
    </w:p>
    <w:p w14:paraId="775F84FC">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2.5.1磋商文件能够详细列明采购标的的技术、服务要求的，磋商结束后，磋商小组应当要求所有实质性响应的供应商在规定时间内提交最后报价，提交最后报价的供应商不得少于</w:t>
      </w:r>
      <w:r>
        <w:rPr>
          <w:rFonts w:hint="eastAsia" w:ascii="宋体" w:hAnsi="宋体"/>
          <w:color w:val="auto"/>
          <w:sz w:val="24"/>
          <w:highlight w:val="none"/>
          <w:lang w:val="en-US" w:eastAsia="zh-CN"/>
        </w:rPr>
        <w:t>3</w:t>
      </w:r>
      <w:r>
        <w:rPr>
          <w:rFonts w:hint="eastAsia" w:ascii="宋体" w:hAnsi="宋体"/>
          <w:color w:val="auto"/>
          <w:sz w:val="24"/>
          <w:highlight w:val="none"/>
        </w:rPr>
        <w:t>家。或磋商文件不能详细列明采购标的的技术、服务要求，需经磋商由供应商提供最终设计方案或解决方案的，磋商结束后，磋商小组应当按照少数服从多数的原则投票推荐</w:t>
      </w:r>
      <w:r>
        <w:rPr>
          <w:rFonts w:hint="eastAsia" w:ascii="宋体" w:hAnsi="宋体"/>
          <w:color w:val="auto"/>
          <w:sz w:val="24"/>
          <w:highlight w:val="none"/>
          <w:lang w:val="en-US" w:eastAsia="zh-CN"/>
        </w:rPr>
        <w:t>3</w:t>
      </w:r>
      <w:r>
        <w:rPr>
          <w:rFonts w:hint="eastAsia" w:ascii="宋体" w:hAnsi="宋体"/>
          <w:color w:val="auto"/>
          <w:sz w:val="24"/>
          <w:highlight w:val="none"/>
        </w:rPr>
        <w:t>家以上供应商的设计方案或者解决方案，并要求其在规定时间内提交最后报价。</w:t>
      </w:r>
    </w:p>
    <w:p w14:paraId="52B4387E">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2.5.2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p>
    <w:p w14:paraId="2DEC185C">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2.5.3供应商最后报价应当由法定代表人/主要负责人/本人或其授权代表签字确认或加盖公章。最后报价是供应商响应文件的有效组成部分。</w:t>
      </w:r>
    </w:p>
    <w:p w14:paraId="4739ED9E">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741DA613">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2.6比较与评价。由磋商小组采用综合评分法对提交最后报价的供应商的响应文件和最后报价进行综合评分，具体要求详见本章综合评分部分。</w:t>
      </w:r>
    </w:p>
    <w:p w14:paraId="4CA1A32A">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评审得分且最后报价且技术指标分项得分均相同的，成交候选供应商并列。</w:t>
      </w:r>
    </w:p>
    <w:p w14:paraId="30DF9AEA">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2.8磋商小组复核。磋商小组评分汇总结束后，磋商小组应当进行评审复核，对拟推荐为成交候选供应商的、报价最低的、供应商资格审查未通过的、供应商响应文件作无效处理的重点复核。</w:t>
      </w:r>
    </w:p>
    <w:p w14:paraId="3287EAD1">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2.9采购组织单位现场复核评审结果。</w:t>
      </w:r>
    </w:p>
    <w:p w14:paraId="09E1BA1B">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2.9.1评审结果汇总完成后，磋商小组拟出具磋商评审报告前，采购人/采购代理机构应当组织2名以上的本单位工作人员，在采购现场监督人员的监督之下，依据有关的法律制度和磋商文件对评审结果进行复核，出具复核报告，存在下列情形之一的，采购人/采购代理机构应当根据情况书面建议磋商小组现场修改评审结果：</w:t>
      </w:r>
    </w:p>
    <w:p w14:paraId="210D667E">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（1）资格性审查认定错误的；</w:t>
      </w:r>
    </w:p>
    <w:p w14:paraId="43D32C94">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（2）分值汇总计算错误的；</w:t>
      </w:r>
    </w:p>
    <w:p w14:paraId="6F0EF7A7">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（3）分项评分超出评分标准范围的；</w:t>
      </w:r>
    </w:p>
    <w:p w14:paraId="0F5C35A3">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（4）客观评分不一致的。</w:t>
      </w:r>
    </w:p>
    <w:p w14:paraId="288BA1E4">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存在本条上述情形的，由磋商小组自主决定是否采纳采购人/采购代理机构的书面建议，并承担独立评审责任。磋商小组采纳采购人/采购代理机构书面建议的，应当按照规定现场修改评审结果或者重新评审，并在磋商报告中详细记载有关事宜；不采纳采购人/采购代理机构书面建议的，应当书面说明理由。采购人/采购代理机构书面建议未被磋商小组采纳的，应当接照规定程序要求继续组织实施采购活动，不得擅自中止采购活动。采购人/采购代理机构认为磋商小组评审结果不合法的，应当书面报告采购项目同级财政部门。</w:t>
      </w:r>
    </w:p>
    <w:p w14:paraId="33ECE676">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采购人/采购代理机构复核过程中，磋商小组成员不得离开评审现场。</w:t>
      </w:r>
    </w:p>
    <w:p w14:paraId="4060A05F">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2.9.2有下列情形之一的，不得现场修改评审结果：</w:t>
      </w:r>
    </w:p>
    <w:p w14:paraId="091F86B1">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（1）磋商小组已经出具磋商报告并且离开评审现场的；</w:t>
      </w:r>
    </w:p>
    <w:p w14:paraId="3152F435">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（2）采购人/采购代理机构现场复核时，复核工作人员数量不足的；</w:t>
      </w:r>
    </w:p>
    <w:p w14:paraId="422DBE4B">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（3）采购人/采购代理机构现场复核时，没有采购监督人员现场监督的；</w:t>
      </w:r>
    </w:p>
    <w:p w14:paraId="6D808D7A">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（4）采购人/采购代理机构现场复核内容超出规定范围的；</w:t>
      </w:r>
    </w:p>
    <w:p w14:paraId="3957D7D0">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（5）采购人/采购代理机构未提供书面建议的。</w:t>
      </w:r>
    </w:p>
    <w:p w14:paraId="0D576B16">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2.10编写磋商报告。磋商小组推荐成交候选供应商后，应向采购人/采购代理机构出具磋商报告。磋商报告应当包括以下主要内容：</w:t>
      </w:r>
    </w:p>
    <w:p w14:paraId="05DC47C7">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（1）邀请供应商参加采购活动的具体方式和相关情况；</w:t>
      </w:r>
    </w:p>
    <w:p w14:paraId="29C48AA9">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（2）响应文件开启日期和地点；</w:t>
      </w:r>
    </w:p>
    <w:p w14:paraId="610F3041">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（3）获取磋商文件的供应商名单和磋商小组成员名单；</w:t>
      </w:r>
    </w:p>
    <w:p w14:paraId="2C4DD4F6">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（4）评审情况记录和说明，包括对供应商的资格审查情况、供应商响应文件审查情况、磋商情况、报价情况等；</w:t>
      </w:r>
    </w:p>
    <w:p w14:paraId="051D2870">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（5）提出的成交候选供应商的排序名单及理由。</w:t>
      </w:r>
    </w:p>
    <w:p w14:paraId="769D5AB9">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同意磋商报告。</w:t>
      </w:r>
    </w:p>
    <w:p w14:paraId="0980BEEE">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2.11磋商异议处理规则。在磋商过程中，磋商小组成员对响应文件是否符合磋商文件规定存在争议的，应当以少数服从多数的原则处理，但不违背磋商文件规定。有不同意见的磋商小组成员认为认定过程和结果不符合法律法规或者磋商文件规定的，应当在磋商报告中予以反映。</w:t>
      </w:r>
    </w:p>
    <w:p w14:paraId="371F3C3A">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2.12供应商澄清、说明</w:t>
      </w:r>
    </w:p>
    <w:p w14:paraId="6BEFF695">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2.12.1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0FE7B501">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2.12.2磋商小组要求供应商澄清、说明或者更正响应文件应当以书面形式作出。供应商的澄清、说明或者更正应当由法定代表人/主要负责人/本人或其授权代表签字或者加盖公章。</w:t>
      </w:r>
    </w:p>
    <w:p w14:paraId="6C927FD4">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2.13终止磋商采购活动。</w:t>
      </w:r>
    </w:p>
    <w:p w14:paraId="743006E3">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出现下列情形之一的，采购人或者采购代理机构应当终止竞争性磋商采购活动，发布项目终止公告并说明原因，重新开展采购活动：</w:t>
      </w:r>
    </w:p>
    <w:p w14:paraId="2D92D439">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（1）因情况变化，不再符合规定的竞争性磋商采购方式适用情形的；</w:t>
      </w:r>
    </w:p>
    <w:p w14:paraId="698610CB">
      <w:pPr>
        <w:keepNext w:val="0"/>
        <w:keepLines w:val="0"/>
        <w:pageBreakBefore w:val="0"/>
        <w:kinsoku/>
        <w:overflowPunct/>
        <w:topLinePunct w:val="0"/>
        <w:bidi w:val="0"/>
        <w:spacing w:line="400" w:lineRule="exact"/>
        <w:ind w:firstLine="480" w:firstLineChars="200"/>
        <w:textAlignment w:val="auto"/>
        <w:outlineLvl w:val="9"/>
        <w:rPr>
          <w:rFonts w:hint="eastAsia" w:ascii="宋体" w:hAnsi="宋体"/>
          <w:color w:val="auto"/>
          <w:sz w:val="24"/>
          <w:highlight w:val="none"/>
        </w:rPr>
      </w:pPr>
      <w:r>
        <w:rPr>
          <w:rFonts w:hint="eastAsia" w:ascii="宋体" w:hAnsi="宋体"/>
          <w:color w:val="auto"/>
          <w:sz w:val="24"/>
          <w:highlight w:val="none"/>
        </w:rPr>
        <w:t>（2）出现影响采购公正的违法、违规行为的；</w:t>
      </w:r>
    </w:p>
    <w:p w14:paraId="64FC0186">
      <w:pPr>
        <w:keepNext w:val="0"/>
        <w:keepLines w:val="0"/>
        <w:pageBreakBefore w:val="0"/>
        <w:kinsoku/>
        <w:overflowPunct/>
        <w:topLinePunct w:val="0"/>
        <w:bidi w:val="0"/>
        <w:spacing w:line="400" w:lineRule="exact"/>
        <w:ind w:firstLine="480" w:firstLineChars="200"/>
        <w:textAlignment w:val="auto"/>
        <w:outlineLvl w:val="9"/>
        <w:rPr>
          <w:rFonts w:hint="eastAsia" w:ascii="宋体"/>
          <w:color w:val="auto"/>
          <w:sz w:val="24"/>
          <w:highlight w:val="none"/>
        </w:rPr>
      </w:pPr>
      <w:r>
        <w:rPr>
          <w:rFonts w:hint="eastAsia" w:ascii="宋体" w:hAnsi="宋体"/>
          <w:color w:val="auto"/>
          <w:sz w:val="24"/>
          <w:highlight w:val="none"/>
        </w:rPr>
        <w:t>（3）在采购过程中符合要求的供应商或者报价未超过采购预算的供应商不足</w:t>
      </w:r>
      <w:r>
        <w:rPr>
          <w:rFonts w:hint="eastAsia" w:ascii="宋体" w:hAnsi="宋体"/>
          <w:color w:val="auto"/>
          <w:sz w:val="24"/>
          <w:highlight w:val="none"/>
          <w:lang w:val="en-US" w:eastAsia="zh-CN"/>
        </w:rPr>
        <w:t>3</w:t>
      </w:r>
      <w:r>
        <w:rPr>
          <w:rFonts w:hint="eastAsia" w:ascii="宋体" w:hAnsi="宋体"/>
          <w:color w:val="auto"/>
          <w:sz w:val="24"/>
          <w:highlight w:val="none"/>
        </w:rPr>
        <w:t>家的。</w:t>
      </w:r>
    </w:p>
    <w:p w14:paraId="1A91B255">
      <w:pPr>
        <w:keepNext w:val="0"/>
        <w:keepLines w:val="0"/>
        <w:pageBreakBefore w:val="0"/>
        <w:kinsoku/>
        <w:overflowPunct/>
        <w:topLinePunct w:val="0"/>
        <w:bidi w:val="0"/>
        <w:spacing w:line="400" w:lineRule="exact"/>
        <w:ind w:firstLine="482" w:firstLineChars="200"/>
        <w:textAlignment w:val="auto"/>
        <w:outlineLvl w:val="9"/>
        <w:rPr>
          <w:rFonts w:hint="eastAsia" w:ascii="宋体"/>
          <w:b/>
          <w:color w:val="auto"/>
          <w:sz w:val="24"/>
          <w:highlight w:val="none"/>
        </w:rPr>
      </w:pPr>
      <w:r>
        <w:rPr>
          <w:rFonts w:hint="eastAsia" w:ascii="宋体"/>
          <w:b/>
          <w:color w:val="auto"/>
          <w:sz w:val="24"/>
          <w:highlight w:val="none"/>
        </w:rPr>
        <w:t>3.综合评分</w:t>
      </w:r>
    </w:p>
    <w:p w14:paraId="277CE112">
      <w:pPr>
        <w:keepNext w:val="0"/>
        <w:keepLines w:val="0"/>
        <w:pageBreakBefore w:val="0"/>
        <w:kinsoku/>
        <w:overflowPunct/>
        <w:topLinePunct w:val="0"/>
        <w:bidi w:val="0"/>
        <w:spacing w:line="400" w:lineRule="exact"/>
        <w:ind w:firstLine="480" w:firstLineChars="200"/>
        <w:textAlignment w:val="auto"/>
        <w:outlineLvl w:val="9"/>
        <w:rPr>
          <w:rFonts w:hint="eastAsia"/>
          <w:color w:val="auto"/>
          <w:sz w:val="24"/>
          <w:highlight w:val="none"/>
        </w:rPr>
      </w:pPr>
      <w:r>
        <w:rPr>
          <w:rFonts w:hint="eastAsia" w:ascii="宋体"/>
          <w:color w:val="auto"/>
          <w:sz w:val="24"/>
          <w:highlight w:val="none"/>
        </w:rPr>
        <w:t>3.1</w:t>
      </w:r>
      <w:r>
        <w:rPr>
          <w:rFonts w:hint="eastAsia"/>
          <w:color w:val="auto"/>
          <w:sz w:val="24"/>
          <w:highlight w:val="none"/>
        </w:rPr>
        <w:t>本次综合评分的因素是：</w:t>
      </w:r>
      <w:r>
        <w:rPr>
          <w:rFonts w:hint="eastAsia" w:ascii="宋体" w:hAnsi="宋体" w:cs="宋体"/>
          <w:color w:val="auto"/>
          <w:sz w:val="24"/>
          <w:highlight w:val="none"/>
        </w:rPr>
        <w:t>详见综合评分明细表</w:t>
      </w:r>
      <w:r>
        <w:rPr>
          <w:rFonts w:hint="eastAsia"/>
          <w:color w:val="auto"/>
          <w:sz w:val="24"/>
          <w:highlight w:val="none"/>
        </w:rPr>
        <w:t>。</w:t>
      </w:r>
    </w:p>
    <w:p w14:paraId="1AD41EC4">
      <w:pPr>
        <w:pStyle w:val="13"/>
        <w:keepNext w:val="0"/>
        <w:keepLines w:val="0"/>
        <w:pageBreakBefore w:val="0"/>
        <w:tabs>
          <w:tab w:val="left" w:pos="600"/>
        </w:tabs>
        <w:kinsoku/>
        <w:overflowPunct/>
        <w:topLinePunct w:val="0"/>
        <w:bidi w:val="0"/>
        <w:spacing w:line="400" w:lineRule="exact"/>
        <w:ind w:firstLine="480" w:firstLineChars="200"/>
        <w:textAlignment w:val="auto"/>
        <w:outlineLvl w:val="9"/>
        <w:rPr>
          <w:rFonts w:hint="eastAsia" w:ascii="宋体"/>
          <w:color w:val="auto"/>
          <w:sz w:val="24"/>
          <w:szCs w:val="24"/>
          <w:highlight w:val="none"/>
        </w:rPr>
      </w:pPr>
      <w:r>
        <w:rPr>
          <w:rFonts w:hint="eastAsia" w:ascii="宋体"/>
          <w:color w:val="auto"/>
          <w:sz w:val="24"/>
          <w:szCs w:val="24"/>
          <w:highlight w:val="none"/>
        </w:rPr>
        <w:t>3.</w:t>
      </w:r>
      <w:r>
        <w:rPr>
          <w:rFonts w:hint="eastAsia" w:ascii="宋体"/>
          <w:color w:val="auto"/>
          <w:sz w:val="24"/>
          <w:szCs w:val="24"/>
          <w:highlight w:val="none"/>
          <w:lang w:val="en-US" w:eastAsia="zh-CN"/>
        </w:rPr>
        <w:t>2</w:t>
      </w:r>
      <w:r>
        <w:rPr>
          <w:rFonts w:hint="eastAsia" w:ascii="宋体"/>
          <w:color w:val="auto"/>
          <w:sz w:val="24"/>
          <w:szCs w:val="24"/>
          <w:highlight w:val="none"/>
        </w:rPr>
        <w:t>综合评分明细表</w:t>
      </w:r>
    </w:p>
    <w:p w14:paraId="4989E205">
      <w:pPr>
        <w:pStyle w:val="13"/>
        <w:keepNext w:val="0"/>
        <w:keepLines w:val="0"/>
        <w:pageBreakBefore w:val="0"/>
        <w:tabs>
          <w:tab w:val="left" w:pos="600"/>
        </w:tabs>
        <w:kinsoku/>
        <w:overflowPunct/>
        <w:topLinePunct w:val="0"/>
        <w:bidi w:val="0"/>
        <w:spacing w:line="400" w:lineRule="exact"/>
        <w:ind w:firstLine="480" w:firstLineChars="200"/>
        <w:textAlignment w:val="auto"/>
        <w:outlineLvl w:val="9"/>
        <w:rPr>
          <w:rFonts w:hint="eastAsia" w:ascii="宋体"/>
          <w:color w:val="auto"/>
          <w:sz w:val="24"/>
          <w:szCs w:val="24"/>
          <w:highlight w:val="none"/>
        </w:rPr>
      </w:pPr>
      <w:r>
        <w:rPr>
          <w:rFonts w:hint="eastAsia" w:ascii="宋体"/>
          <w:color w:val="auto"/>
          <w:sz w:val="24"/>
          <w:szCs w:val="24"/>
          <w:highlight w:val="none"/>
        </w:rPr>
        <w:t>3.</w:t>
      </w:r>
      <w:r>
        <w:rPr>
          <w:rFonts w:hint="eastAsia" w:ascii="宋体"/>
          <w:color w:val="auto"/>
          <w:sz w:val="24"/>
          <w:szCs w:val="24"/>
          <w:highlight w:val="none"/>
          <w:lang w:val="en-US" w:eastAsia="zh-CN"/>
        </w:rPr>
        <w:t>2</w:t>
      </w:r>
      <w:r>
        <w:rPr>
          <w:rFonts w:hint="eastAsia" w:ascii="宋体"/>
          <w:color w:val="auto"/>
          <w:sz w:val="24"/>
          <w:szCs w:val="24"/>
          <w:highlight w:val="none"/>
        </w:rPr>
        <w:t>.1综合评分明细表的制定以科学合理、降低评委会自由裁量权为原则。</w:t>
      </w:r>
    </w:p>
    <w:p w14:paraId="2C774122">
      <w:pPr>
        <w:keepNext w:val="0"/>
        <w:keepLines w:val="0"/>
        <w:pageBreakBefore w:val="0"/>
        <w:kinsoku/>
        <w:overflowPunct/>
        <w:topLinePunct w:val="0"/>
        <w:bidi w:val="0"/>
        <w:spacing w:before="0" w:after="0" w:line="400" w:lineRule="exact"/>
        <w:ind w:firstLine="472" w:firstLineChars="196"/>
        <w:textAlignment w:val="auto"/>
        <w:outlineLvl w:val="9"/>
        <w:rPr>
          <w:rFonts w:hint="eastAsia" w:ascii="宋体" w:hAnsi="宋体" w:eastAsia="宋体"/>
          <w:b/>
          <w:color w:val="auto"/>
          <w:sz w:val="24"/>
          <w:szCs w:val="24"/>
          <w:highlight w:val="none"/>
        </w:rPr>
      </w:pPr>
      <w:r>
        <w:rPr>
          <w:rFonts w:hint="eastAsia" w:ascii="宋体" w:hAnsi="宋体" w:eastAsia="宋体"/>
          <w:b/>
          <w:color w:val="auto"/>
          <w:sz w:val="24"/>
          <w:szCs w:val="24"/>
          <w:highlight w:val="none"/>
        </w:rPr>
        <w:t>3.</w:t>
      </w:r>
      <w:r>
        <w:rPr>
          <w:rFonts w:hint="eastAsia" w:ascii="宋体" w:hAnsi="宋体" w:eastAsia="宋体"/>
          <w:b/>
          <w:color w:val="auto"/>
          <w:sz w:val="24"/>
          <w:szCs w:val="24"/>
          <w:highlight w:val="none"/>
          <w:lang w:val="en-US" w:eastAsia="zh-CN"/>
        </w:rPr>
        <w:t>2</w:t>
      </w:r>
      <w:r>
        <w:rPr>
          <w:rFonts w:hint="eastAsia" w:ascii="宋体" w:hAnsi="宋体" w:eastAsia="宋体"/>
          <w:b/>
          <w:color w:val="auto"/>
          <w:sz w:val="24"/>
          <w:szCs w:val="24"/>
          <w:highlight w:val="none"/>
        </w:rPr>
        <w:t>.2综合评分明细表</w:t>
      </w:r>
    </w:p>
    <w:tbl>
      <w:tblPr>
        <w:tblStyle w:val="32"/>
        <w:tblW w:w="87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24"/>
        <w:gridCol w:w="1441"/>
        <w:gridCol w:w="3969"/>
        <w:gridCol w:w="1846"/>
      </w:tblGrid>
      <w:tr w14:paraId="59F42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8" w:hRule="atLeast"/>
          <w:jc w:val="center"/>
        </w:trPr>
        <w:tc>
          <w:tcPr>
            <w:tcW w:w="1524" w:type="dxa"/>
            <w:noWrap w:val="0"/>
            <w:vAlign w:val="center"/>
          </w:tcPr>
          <w:p w14:paraId="371DAF41">
            <w:pPr>
              <w:keepNext w:val="0"/>
              <w:keepLines w:val="0"/>
              <w:suppressLineNumbers w:val="0"/>
              <w:spacing w:before="0" w:beforeAutospacing="0" w:after="0" w:afterAutospacing="0" w:line="480" w:lineRule="auto"/>
              <w:ind w:left="0" w:right="0"/>
              <w:jc w:val="center"/>
              <w:rPr>
                <w:rFonts w:hint="default" w:ascii="宋体" w:hAnsi="宋体" w:cs="宋体"/>
                <w:spacing w:val="-1"/>
                <w:szCs w:val="21"/>
                <w:highlight w:val="none"/>
              </w:rPr>
            </w:pPr>
            <w:bookmarkStart w:id="107" w:name="_Toc20591"/>
            <w:bookmarkStart w:id="108" w:name="_Toc17375"/>
            <w:bookmarkStart w:id="109" w:name="_Toc9919"/>
            <w:r>
              <w:rPr>
                <w:rFonts w:hint="eastAsia" w:ascii="宋体" w:hAnsi="宋体" w:cs="宋体"/>
                <w:spacing w:val="-1"/>
                <w:szCs w:val="21"/>
                <w:highlight w:val="none"/>
              </w:rPr>
              <w:t>评审因素及分值</w:t>
            </w:r>
          </w:p>
        </w:tc>
        <w:tc>
          <w:tcPr>
            <w:tcW w:w="7256" w:type="dxa"/>
            <w:gridSpan w:val="3"/>
            <w:noWrap w:val="0"/>
            <w:vAlign w:val="center"/>
          </w:tcPr>
          <w:p w14:paraId="0ECDB317">
            <w:pPr>
              <w:keepNext w:val="0"/>
              <w:keepLines w:val="0"/>
              <w:suppressLineNumbers w:val="0"/>
              <w:spacing w:before="0" w:beforeAutospacing="0" w:after="0" w:afterAutospacing="0" w:line="480" w:lineRule="auto"/>
              <w:ind w:left="0" w:right="0"/>
              <w:jc w:val="center"/>
              <w:rPr>
                <w:rFonts w:hint="default" w:ascii="宋体" w:hAnsi="宋体" w:cs="宋体"/>
                <w:spacing w:val="-1"/>
                <w:szCs w:val="21"/>
                <w:highlight w:val="none"/>
              </w:rPr>
            </w:pPr>
            <w:r>
              <w:rPr>
                <w:rFonts w:hint="eastAsia" w:ascii="宋体" w:hAnsi="宋体" w:cs="宋体"/>
                <w:spacing w:val="-1"/>
                <w:szCs w:val="21"/>
                <w:highlight w:val="none"/>
              </w:rPr>
              <w:t>评分标准</w:t>
            </w:r>
          </w:p>
        </w:tc>
      </w:tr>
      <w:tr w14:paraId="45994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jc w:val="center"/>
        </w:trPr>
        <w:tc>
          <w:tcPr>
            <w:tcW w:w="1524" w:type="dxa"/>
            <w:noWrap w:val="0"/>
            <w:vAlign w:val="center"/>
          </w:tcPr>
          <w:p w14:paraId="1CFAAC30">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磋商报价</w:t>
            </w:r>
          </w:p>
          <w:p w14:paraId="594B8E55">
            <w:pPr>
              <w:keepNext w:val="0"/>
              <w:keepLines w:val="0"/>
              <w:suppressLineNumbers w:val="0"/>
              <w:spacing w:before="0" w:beforeAutospacing="0" w:after="0" w:afterAutospacing="0"/>
              <w:ind w:left="0" w:right="0"/>
              <w:jc w:val="center"/>
              <w:rPr>
                <w:rFonts w:hint="default"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0分）</w:t>
            </w:r>
          </w:p>
        </w:tc>
        <w:tc>
          <w:tcPr>
            <w:tcW w:w="7256" w:type="dxa"/>
            <w:gridSpan w:val="3"/>
            <w:noWrap w:val="0"/>
            <w:vAlign w:val="center"/>
          </w:tcPr>
          <w:p w14:paraId="74C63B58">
            <w:pPr>
              <w:keepNext w:val="0"/>
              <w:keepLines w:val="0"/>
              <w:suppressLineNumbers w:val="0"/>
              <w:spacing w:before="0" w:beforeAutospacing="0" w:after="0" w:afterAutospacing="0"/>
              <w:ind w:left="0" w:right="0" w:firstLine="420" w:firstLineChars="200"/>
              <w:rPr>
                <w:rFonts w:hint="eastAsia" w:ascii="Times New Roman" w:hAnsi="Times New Roman" w:eastAsia="宋体" w:cs="Times New Roman"/>
                <w:highlight w:val="none"/>
              </w:rPr>
            </w:pPr>
            <w:r>
              <w:rPr>
                <w:rFonts w:hint="eastAsia" w:ascii="Times New Roman" w:hAnsi="Times New Roman" w:eastAsia="宋体" w:cs="Times New Roman"/>
                <w:highlight w:val="none"/>
              </w:rPr>
              <w:t>本项目采用下浮比例报价方式，计费基准为《四川省物价局、四川省建设厅关于〈工程造价咨询服务收费标准〉的通知》（川价发〔2008〕141 号）对应服务项目的基准收费标准。</w:t>
            </w:r>
          </w:p>
          <w:p w14:paraId="79B6E061">
            <w:pPr>
              <w:keepNext w:val="0"/>
              <w:keepLines w:val="0"/>
              <w:suppressLineNumbers w:val="0"/>
              <w:spacing w:before="0" w:beforeAutospacing="0" w:after="0" w:afterAutospacing="0"/>
              <w:ind w:left="0" w:right="0" w:firstLine="420" w:firstLineChars="200"/>
              <w:rPr>
                <w:rFonts w:hint="eastAsia" w:ascii="Times New Roman" w:hAnsi="Times New Roman" w:eastAsia="宋体" w:cs="Times New Roman"/>
                <w:highlight w:val="none"/>
              </w:rPr>
            </w:pPr>
            <w:r>
              <w:rPr>
                <w:rFonts w:hint="eastAsia" w:ascii="Times New Roman" w:hAnsi="Times New Roman" w:eastAsia="宋体" w:cs="Times New Roman"/>
                <w:highlight w:val="none"/>
              </w:rPr>
              <w:t>以本次有效磋商响应中的</w:t>
            </w:r>
            <w:r>
              <w:rPr>
                <w:rFonts w:hint="eastAsia" w:ascii="Times New Roman" w:hAnsi="Times New Roman" w:eastAsia="宋体" w:cs="Times New Roman"/>
                <w:b/>
                <w:bCs/>
                <w:highlight w:val="none"/>
              </w:rPr>
              <w:t>最高下浮比例为基准下浮比例</w:t>
            </w:r>
            <w:r>
              <w:rPr>
                <w:rFonts w:hint="eastAsia" w:ascii="Times New Roman" w:hAnsi="Times New Roman" w:eastAsia="宋体" w:cs="Times New Roman"/>
                <w:highlight w:val="none"/>
              </w:rPr>
              <w:t>，报价得分计算公式为：</w:t>
            </w:r>
          </w:p>
          <w:p w14:paraId="5A3B029B">
            <w:pPr>
              <w:keepNext w:val="0"/>
              <w:keepLines w:val="0"/>
              <w:suppressLineNumbers w:val="0"/>
              <w:spacing w:before="0" w:beforeAutospacing="0" w:after="0" w:afterAutospacing="0"/>
              <w:ind w:left="0" w:right="0" w:firstLine="422"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b/>
                <w:bCs/>
                <w:highlight w:val="none"/>
              </w:rPr>
              <w:t>报价得分</w:t>
            </w:r>
            <w:r>
              <w:rPr>
                <w:rFonts w:hint="eastAsia" w:cs="Times New Roman"/>
                <w:b/>
                <w:bCs/>
                <w:highlight w:val="none"/>
                <w:lang w:val="en-US" w:eastAsia="zh-CN"/>
              </w:rPr>
              <w:t>=</w:t>
            </w:r>
            <m:oMath>
              <m:f>
                <m:fPr>
                  <m:ctrlPr>
                    <w:rPr>
                      <w:rFonts w:hint="default" w:ascii="Cambria Math" w:hAnsi="Cambria Math" w:cs="Times New Roman"/>
                      <w:b/>
                      <w:bCs/>
                      <w:i w:val="0"/>
                      <w:sz w:val="28"/>
                      <w:highlight w:val="none"/>
                    </w:rPr>
                  </m:ctrlPr>
                </m:fPr>
                <m:num>
                  <m:r>
                    <m:rPr>
                      <m:sty m:val="b"/>
                    </m:rPr>
                    <w:rPr>
                      <w:rFonts w:hint="default" w:ascii="Cambria Math" w:hAnsi="Cambria Math" w:cs="Times New Roman"/>
                      <w:sz w:val="28"/>
                      <w:highlight w:val="none"/>
                      <w:lang w:val="en-US" w:eastAsia="zh-CN"/>
                    </w:rPr>
                    <m:t>1−</m:t>
                  </m:r>
                  <m:r>
                    <m:rPr>
                      <m:sty m:val="b"/>
                    </m:rPr>
                    <w:rPr>
                      <w:rFonts w:hint="eastAsia" w:ascii="Cambria Math" w:hAnsi="Cambria Math" w:cs="Times New Roman"/>
                      <w:sz w:val="28"/>
                      <w:highlight w:val="none"/>
                      <w:lang w:val="en-US" w:eastAsia="zh-CN"/>
                    </w:rPr>
                    <m:t>基准下浮比例</m:t>
                  </m:r>
                  <m:ctrlPr>
                    <w:rPr>
                      <w:rFonts w:hint="default" w:ascii="Cambria Math" w:hAnsi="Cambria Math" w:cs="Times New Roman"/>
                      <w:b/>
                      <w:bCs/>
                      <w:i w:val="0"/>
                      <w:sz w:val="28"/>
                      <w:highlight w:val="none"/>
                    </w:rPr>
                  </m:ctrlPr>
                </m:num>
                <m:den>
                  <m:r>
                    <m:rPr>
                      <m:sty m:val="b"/>
                    </m:rPr>
                    <w:rPr>
                      <w:rFonts w:hint="default" w:ascii="Cambria Math" w:hAnsi="Cambria Math" w:cs="Times New Roman"/>
                      <w:sz w:val="28"/>
                      <w:highlight w:val="none"/>
                      <w:lang w:val="en-US" w:eastAsia="zh-CN"/>
                    </w:rPr>
                    <m:t>1−</m:t>
                  </m:r>
                  <m:r>
                    <m:rPr>
                      <m:sty m:val="b"/>
                    </m:rPr>
                    <w:rPr>
                      <w:rFonts w:hint="eastAsia" w:ascii="Cambria Math" w:hAnsi="Cambria Math" w:cs="Times New Roman"/>
                      <w:sz w:val="28"/>
                      <w:highlight w:val="none"/>
                      <w:lang w:val="en-US" w:eastAsia="zh-CN"/>
                    </w:rPr>
                    <m:t>投标人磋商下浮比例</m:t>
                  </m:r>
                  <m:ctrlPr>
                    <w:rPr>
                      <w:rFonts w:hint="default" w:ascii="Cambria Math" w:hAnsi="Cambria Math" w:cs="Times New Roman"/>
                      <w:b/>
                      <w:bCs/>
                      <w:i w:val="0"/>
                      <w:sz w:val="28"/>
                      <w:highlight w:val="none"/>
                    </w:rPr>
                  </m:ctrlPr>
                </m:den>
              </m:f>
            </m:oMath>
            <w:r>
              <w:rPr>
                <w:rFonts w:hint="eastAsia" w:ascii="Times New Roman" w:hAnsi="Cambria Math" w:cs="Times New Roman"/>
                <w:b/>
                <w:bCs/>
                <w:i w:val="0"/>
                <w:sz w:val="28"/>
                <w:highlight w:val="none"/>
                <w:lang w:val="en-US" w:eastAsia="zh-CN"/>
              </w:rPr>
              <w:t xml:space="preserve">×20 </w:t>
            </w:r>
            <w:r>
              <w:rPr>
                <w:rFonts w:hint="eastAsia" w:ascii="Times New Roman" w:hAnsi="Times New Roman" w:eastAsia="宋体" w:cs="Times New Roman"/>
                <w:highlight w:val="none"/>
              </w:rPr>
              <w:t>计算结果保留小数点后两位</w:t>
            </w:r>
            <w:r>
              <w:rPr>
                <w:rFonts w:hint="eastAsia" w:ascii="Times New Roman" w:hAnsi="Times New Roman" w:eastAsia="宋体" w:cs="Times New Roman"/>
                <w:highlight w:val="none"/>
                <w:lang w:eastAsia="zh-CN"/>
              </w:rPr>
              <w:t>。</w:t>
            </w:r>
          </w:p>
          <w:p w14:paraId="43E2EBDB">
            <w:pPr>
              <w:keepNext w:val="0"/>
              <w:keepLines w:val="0"/>
              <w:suppressLineNumbers w:val="0"/>
              <w:spacing w:before="0" w:beforeAutospacing="0" w:after="0" w:afterAutospacing="0"/>
              <w:ind w:left="0" w:right="0"/>
              <w:rPr>
                <w:rFonts w:hint="default" w:ascii="Times New Roman" w:hAnsi="Times New Roman" w:cs="Times New Roman"/>
              </w:rPr>
            </w:pPr>
          </w:p>
        </w:tc>
      </w:tr>
      <w:tr w14:paraId="48E9C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1524" w:type="dxa"/>
            <w:noWrap w:val="0"/>
            <w:vAlign w:val="center"/>
          </w:tcPr>
          <w:p w14:paraId="08FC91B4">
            <w:pPr>
              <w:keepNext w:val="0"/>
              <w:keepLines w:val="0"/>
              <w:suppressLineNumbers w:val="0"/>
              <w:spacing w:before="0" w:beforeAutospacing="0" w:after="0" w:afterAutospacing="0"/>
              <w:ind w:left="0" w:right="0"/>
              <w:jc w:val="center"/>
              <w:rPr>
                <w:rFonts w:hint="eastAsia" w:ascii="Times New Roman" w:hAnsi="Times New Roman" w:cs="Times New Roman"/>
                <w:highlight w:val="none"/>
              </w:rPr>
            </w:pPr>
            <w:r>
              <w:rPr>
                <w:rFonts w:hint="eastAsia" w:ascii="Times New Roman" w:hAnsi="Times New Roman" w:cs="Times New Roman"/>
                <w:highlight w:val="none"/>
              </w:rPr>
              <w:t>企业业绩</w:t>
            </w:r>
          </w:p>
          <w:p w14:paraId="0CAAC540">
            <w:pPr>
              <w:pStyle w:val="2"/>
              <w:keepNext w:val="0"/>
              <w:keepLines w:val="0"/>
              <w:suppressLineNumbers w:val="0"/>
              <w:spacing w:before="0" w:beforeAutospacing="0" w:afterAutospacing="0"/>
              <w:ind w:left="0" w:right="0" w:firstLine="420" w:firstLineChars="200"/>
              <w:rPr>
                <w:rFonts w:hint="eastAsia"/>
                <w:highlight w:val="none"/>
              </w:rPr>
            </w:pPr>
            <w:r>
              <w:rPr>
                <w:rFonts w:hint="eastAsia" w:eastAsia="宋体"/>
                <w:szCs w:val="24"/>
                <w:highlight w:val="none"/>
              </w:rPr>
              <w:t>（</w:t>
            </w:r>
            <w:r>
              <w:rPr>
                <w:rFonts w:hint="eastAsia" w:eastAsia="宋体"/>
                <w:szCs w:val="24"/>
                <w:highlight w:val="none"/>
                <w:lang w:val="en-US" w:eastAsia="zh-CN"/>
              </w:rPr>
              <w:t>25</w:t>
            </w:r>
            <w:r>
              <w:rPr>
                <w:rFonts w:hint="eastAsia" w:eastAsia="宋体"/>
                <w:szCs w:val="24"/>
                <w:highlight w:val="none"/>
              </w:rPr>
              <w:t>分）</w:t>
            </w:r>
          </w:p>
        </w:tc>
        <w:tc>
          <w:tcPr>
            <w:tcW w:w="7256" w:type="dxa"/>
            <w:gridSpan w:val="3"/>
            <w:noWrap w:val="0"/>
            <w:vAlign w:val="center"/>
          </w:tcPr>
          <w:p w14:paraId="03A34945">
            <w:pPr>
              <w:keepNext w:val="0"/>
              <w:keepLines w:val="0"/>
              <w:suppressLineNumbers w:val="0"/>
              <w:spacing w:before="0" w:beforeAutospacing="0" w:after="0" w:afterAutospacing="0"/>
              <w:ind w:left="0" w:right="0" w:firstLine="420" w:firstLineChars="200"/>
              <w:rPr>
                <w:rFonts w:hint="eastAsia" w:ascii="Times New Roman" w:hAnsi="Times New Roman" w:eastAsia="宋体" w:cs="Times New Roman"/>
                <w:highlight w:val="none"/>
                <w:lang w:eastAsia="zh-CN"/>
              </w:rPr>
            </w:pPr>
            <w:r>
              <w:rPr>
                <w:rFonts w:hint="default" w:ascii="Times New Roman" w:hAnsi="Times New Roman" w:cs="Times New Roman"/>
                <w:highlight w:val="none"/>
              </w:rPr>
              <w:t>自202</w:t>
            </w:r>
            <w:r>
              <w:rPr>
                <w:rFonts w:hint="eastAsia" w:ascii="Times New Roman" w:hAnsi="Times New Roman" w:cs="Times New Roman"/>
                <w:highlight w:val="none"/>
                <w:lang w:val="en-US" w:eastAsia="zh-CN"/>
              </w:rPr>
              <w:t>3</w:t>
            </w:r>
            <w:r>
              <w:rPr>
                <w:rFonts w:hint="default" w:ascii="Times New Roman" w:hAnsi="Times New Roman" w:cs="Times New Roman"/>
                <w:highlight w:val="none"/>
              </w:rPr>
              <w:t>年1月1日起至今，投标</w:t>
            </w:r>
            <w:r>
              <w:rPr>
                <w:rFonts w:hint="eastAsia" w:ascii="Times New Roman" w:hAnsi="Times New Roman" w:cs="Times New Roman"/>
                <w:highlight w:val="none"/>
              </w:rPr>
              <w:t>供应商</w:t>
            </w:r>
            <w:r>
              <w:rPr>
                <w:rFonts w:hint="default" w:ascii="Times New Roman" w:hAnsi="Times New Roman" w:cs="Times New Roman"/>
                <w:highlight w:val="none"/>
              </w:rPr>
              <w:t>每提供一个类似项目业绩的得</w:t>
            </w:r>
            <w:r>
              <w:rPr>
                <w:rFonts w:hint="eastAsia" w:ascii="Times New Roman" w:hAnsi="Times New Roman" w:cs="Times New Roman"/>
                <w:highlight w:val="none"/>
                <w:lang w:val="en-US" w:eastAsia="zh-CN"/>
              </w:rPr>
              <w:t>5</w:t>
            </w:r>
            <w:r>
              <w:rPr>
                <w:rFonts w:hint="default" w:ascii="Times New Roman" w:hAnsi="Times New Roman" w:cs="Times New Roman"/>
                <w:highlight w:val="none"/>
              </w:rPr>
              <w:t>分，本项最高得</w:t>
            </w:r>
            <w:r>
              <w:rPr>
                <w:rFonts w:hint="eastAsia" w:cs="Times New Roman"/>
                <w:highlight w:val="none"/>
                <w:lang w:val="en-US" w:eastAsia="zh-CN"/>
              </w:rPr>
              <w:t>25</w:t>
            </w:r>
            <w:r>
              <w:rPr>
                <w:rFonts w:hint="default" w:ascii="Times New Roman" w:hAnsi="Times New Roman" w:cs="Times New Roman"/>
                <w:highlight w:val="none"/>
              </w:rPr>
              <w:t>分。</w:t>
            </w:r>
            <w:r>
              <w:rPr>
                <w:rFonts w:hint="eastAsia" w:ascii="Times New Roman" w:hAnsi="Times New Roman" w:cs="Times New Roman"/>
                <w:highlight w:val="none"/>
                <w:lang w:eastAsia="zh-CN"/>
              </w:rPr>
              <w:t>（所指类似项目业绩，包含房屋建筑工程类别下的新建、改建、扩建、整体修缮及零星维修项目对应的工程咨询服务（服务类型含造价咨询、预算编制、结算审核、全过程跟踪审计等与本次招标服务内容一致的范畴），覆盖土建或安装任一专业即可认定为有效业绩。）</w:t>
            </w:r>
          </w:p>
          <w:p w14:paraId="5AEAE187">
            <w:pPr>
              <w:pStyle w:val="2"/>
              <w:keepNext w:val="0"/>
              <w:keepLines w:val="0"/>
              <w:suppressLineNumbers w:val="0"/>
              <w:spacing w:before="0" w:beforeAutospacing="0" w:afterAutospacing="0"/>
              <w:ind w:left="0" w:right="0" w:firstLine="422" w:firstLineChars="200"/>
              <w:rPr>
                <w:rFonts w:hint="default" w:ascii="宋体" w:hAnsi="宋体" w:cs="宋体"/>
                <w:szCs w:val="21"/>
                <w:highlight w:val="none"/>
              </w:rPr>
            </w:pPr>
            <w:r>
              <w:rPr>
                <w:rFonts w:hint="eastAsia" w:eastAsia="宋体"/>
                <w:b/>
                <w:bCs/>
                <w:szCs w:val="24"/>
                <w:highlight w:val="none"/>
              </w:rPr>
              <w:t>注：须提供合同复印件、审计报告复印件并加盖供应商鲜章。</w:t>
            </w:r>
          </w:p>
        </w:tc>
      </w:tr>
      <w:tr w14:paraId="52972D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524" w:type="dxa"/>
            <w:vMerge w:val="restart"/>
            <w:noWrap w:val="0"/>
            <w:vAlign w:val="center"/>
          </w:tcPr>
          <w:p w14:paraId="42811D3B">
            <w:pPr>
              <w:keepNext w:val="0"/>
              <w:keepLines w:val="0"/>
              <w:suppressLineNumbers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人员配置</w:t>
            </w:r>
          </w:p>
          <w:p w14:paraId="03ED9B6D">
            <w:pPr>
              <w:keepNext w:val="0"/>
              <w:keepLines w:val="0"/>
              <w:suppressLineNumbers w:val="0"/>
              <w:spacing w:before="0" w:beforeAutospacing="0" w:after="0" w:afterAutospacing="0"/>
              <w:ind w:left="0" w:right="0"/>
              <w:jc w:val="center"/>
              <w:rPr>
                <w:rFonts w:hint="eastAsia" w:ascii="宋体" w:hAnsi="宋体" w:cs="宋体"/>
                <w:szCs w:val="21"/>
                <w:highlight w:val="none"/>
                <w:lang w:val="zh-CN"/>
              </w:rPr>
            </w:pPr>
            <w:r>
              <w:rPr>
                <w:rFonts w:hint="eastAsia" w:ascii="宋体" w:hAnsi="宋体" w:cs="宋体"/>
                <w:szCs w:val="21"/>
                <w:highlight w:val="none"/>
                <w:lang w:val="zh-CN"/>
              </w:rPr>
              <w:t>（</w:t>
            </w:r>
            <w:r>
              <w:rPr>
                <w:rFonts w:hint="eastAsia" w:ascii="宋体" w:hAnsi="宋体" w:cs="宋体"/>
                <w:szCs w:val="21"/>
                <w:highlight w:val="none"/>
                <w:lang w:val="en-US" w:eastAsia="zh-CN"/>
              </w:rPr>
              <w:t>40</w:t>
            </w:r>
            <w:r>
              <w:rPr>
                <w:rFonts w:hint="eastAsia" w:ascii="宋体" w:hAnsi="宋体" w:cs="宋体"/>
                <w:szCs w:val="21"/>
                <w:highlight w:val="none"/>
              </w:rPr>
              <w:t>分</w:t>
            </w:r>
            <w:r>
              <w:rPr>
                <w:rFonts w:hint="eastAsia" w:ascii="宋体" w:hAnsi="宋体" w:cs="宋体"/>
                <w:szCs w:val="21"/>
                <w:highlight w:val="none"/>
                <w:lang w:val="zh-CN"/>
              </w:rPr>
              <w:t>）</w:t>
            </w:r>
          </w:p>
        </w:tc>
        <w:tc>
          <w:tcPr>
            <w:tcW w:w="1441" w:type="dxa"/>
            <w:noWrap w:val="0"/>
            <w:vAlign w:val="center"/>
          </w:tcPr>
          <w:p w14:paraId="6232AC0F">
            <w:pPr>
              <w:keepNext w:val="0"/>
              <w:keepLines w:val="0"/>
              <w:suppressLineNumbers w:val="0"/>
              <w:spacing w:before="0" w:beforeAutospacing="0" w:after="0" w:afterAutospacing="0"/>
              <w:ind w:left="0" w:right="0" w:firstLine="420" w:firstLineChars="200"/>
              <w:rPr>
                <w:rFonts w:hint="eastAsia" w:ascii="Times New Roman" w:hAnsi="Times New Roman" w:cs="Times New Roman"/>
                <w:highlight w:val="none"/>
              </w:rPr>
            </w:pPr>
            <w:r>
              <w:rPr>
                <w:rFonts w:hint="eastAsia" w:ascii="Times New Roman" w:hAnsi="Times New Roman" w:cs="Times New Roman"/>
                <w:highlight w:val="none"/>
              </w:rPr>
              <w:t>项目负责人及主审人员配置（</w:t>
            </w:r>
            <w:r>
              <w:rPr>
                <w:rFonts w:hint="eastAsia" w:cs="Times New Roman"/>
                <w:highlight w:val="none"/>
                <w:lang w:val="en-US" w:eastAsia="zh-CN"/>
              </w:rPr>
              <w:t>20</w:t>
            </w:r>
            <w:r>
              <w:rPr>
                <w:rFonts w:hint="eastAsia" w:ascii="Times New Roman" w:hAnsi="Times New Roman" w:cs="Times New Roman"/>
                <w:highlight w:val="none"/>
              </w:rPr>
              <w:t>分）</w:t>
            </w:r>
          </w:p>
        </w:tc>
        <w:tc>
          <w:tcPr>
            <w:tcW w:w="3969" w:type="dxa"/>
            <w:noWrap w:val="0"/>
            <w:vAlign w:val="center"/>
          </w:tcPr>
          <w:p w14:paraId="023E4FB0">
            <w:pPr>
              <w:keepNext w:val="0"/>
              <w:keepLines w:val="0"/>
              <w:suppressLineNumbers w:val="0"/>
              <w:spacing w:before="0" w:beforeAutospacing="0" w:after="0" w:afterAutospacing="0"/>
              <w:ind w:left="0" w:right="0" w:firstLine="420" w:firstLineChars="200"/>
              <w:rPr>
                <w:rFonts w:hint="default" w:ascii="Times New Roman" w:hAnsi="Times New Roman" w:cs="Times New Roman"/>
                <w:highlight w:val="none"/>
              </w:rPr>
            </w:pPr>
            <w:r>
              <w:rPr>
                <w:rFonts w:hint="eastAsia" w:ascii="Times New Roman" w:hAnsi="Times New Roman" w:cs="Times New Roman"/>
                <w:highlight w:val="none"/>
              </w:rPr>
              <w:t>每有1名一级注册造价工程师的得</w:t>
            </w:r>
            <w:r>
              <w:rPr>
                <w:rFonts w:hint="eastAsia" w:cs="Times New Roman"/>
                <w:highlight w:val="none"/>
                <w:lang w:val="en-US" w:eastAsia="zh-CN"/>
              </w:rPr>
              <w:t>4</w:t>
            </w:r>
            <w:r>
              <w:rPr>
                <w:rFonts w:hint="eastAsia" w:ascii="Times New Roman" w:hAnsi="Times New Roman" w:cs="Times New Roman"/>
                <w:highlight w:val="none"/>
              </w:rPr>
              <w:t>分，本项最高得</w:t>
            </w:r>
            <w:r>
              <w:rPr>
                <w:rFonts w:hint="eastAsia" w:cs="Times New Roman"/>
                <w:highlight w:val="none"/>
                <w:lang w:val="en-US" w:eastAsia="zh-CN"/>
              </w:rPr>
              <w:t>20</w:t>
            </w:r>
            <w:r>
              <w:rPr>
                <w:rFonts w:hint="eastAsia" w:ascii="Times New Roman" w:hAnsi="Times New Roman" w:cs="Times New Roman"/>
                <w:highlight w:val="none"/>
              </w:rPr>
              <w:t>分。</w:t>
            </w:r>
          </w:p>
        </w:tc>
        <w:tc>
          <w:tcPr>
            <w:tcW w:w="1846" w:type="dxa"/>
            <w:noWrap w:val="0"/>
            <w:vAlign w:val="center"/>
          </w:tcPr>
          <w:p w14:paraId="17F348D9">
            <w:pPr>
              <w:keepNext w:val="0"/>
              <w:keepLines w:val="0"/>
              <w:suppressLineNumbers w:val="0"/>
              <w:spacing w:before="0" w:beforeAutospacing="0" w:after="0" w:afterAutospacing="0"/>
              <w:ind w:left="0" w:right="0" w:firstLine="210" w:firstLineChars="100"/>
              <w:rPr>
                <w:rFonts w:hint="eastAsia" w:ascii="Times New Roman" w:hAnsi="Times New Roman" w:cs="Times New Roman"/>
                <w:highlight w:val="none"/>
              </w:rPr>
            </w:pPr>
            <w:r>
              <w:rPr>
                <w:rFonts w:hint="eastAsia" w:ascii="Times New Roman" w:hAnsi="Times New Roman" w:cs="Times New Roman"/>
                <w:highlight w:val="none"/>
              </w:rPr>
              <w:t>提供有效证书复印件，并加盖公章，未提供不得分。</w:t>
            </w:r>
          </w:p>
        </w:tc>
      </w:tr>
      <w:tr w14:paraId="2100A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524" w:type="dxa"/>
            <w:vMerge w:val="continue"/>
            <w:noWrap w:val="0"/>
            <w:vAlign w:val="center"/>
          </w:tcPr>
          <w:p w14:paraId="55278916">
            <w:pPr>
              <w:keepNext w:val="0"/>
              <w:keepLines w:val="0"/>
              <w:suppressLineNumbers w:val="0"/>
              <w:spacing w:before="0" w:beforeAutospacing="0" w:after="0" w:afterAutospacing="0"/>
              <w:ind w:left="0" w:right="0" w:firstLine="420" w:firstLineChars="200"/>
              <w:rPr>
                <w:rFonts w:hint="default" w:ascii="Times New Roman" w:hAnsi="Times New Roman" w:cs="Times New Roman"/>
                <w:highlight w:val="none"/>
              </w:rPr>
            </w:pPr>
          </w:p>
        </w:tc>
        <w:tc>
          <w:tcPr>
            <w:tcW w:w="1441" w:type="dxa"/>
            <w:noWrap w:val="0"/>
            <w:vAlign w:val="center"/>
          </w:tcPr>
          <w:p w14:paraId="58328054">
            <w:pPr>
              <w:keepNext w:val="0"/>
              <w:keepLines w:val="0"/>
              <w:suppressLineNumbers w:val="0"/>
              <w:spacing w:before="0" w:beforeAutospacing="0" w:after="0" w:afterAutospacing="0"/>
              <w:ind w:left="0" w:right="0" w:firstLine="420" w:firstLineChars="200"/>
              <w:rPr>
                <w:rFonts w:hint="eastAsia" w:ascii="Times New Roman" w:hAnsi="Times New Roman" w:cs="Times New Roman"/>
                <w:highlight w:val="none"/>
              </w:rPr>
            </w:pPr>
            <w:r>
              <w:rPr>
                <w:rFonts w:hint="eastAsia" w:ascii="Times New Roman" w:hAnsi="Times New Roman" w:cs="Times New Roman"/>
                <w:highlight w:val="none"/>
              </w:rPr>
              <w:t>项目负责人业绩（10分）</w:t>
            </w:r>
          </w:p>
        </w:tc>
        <w:tc>
          <w:tcPr>
            <w:tcW w:w="3969" w:type="dxa"/>
            <w:noWrap w:val="0"/>
            <w:vAlign w:val="center"/>
          </w:tcPr>
          <w:p w14:paraId="61F189CD">
            <w:pPr>
              <w:keepNext w:val="0"/>
              <w:keepLines w:val="0"/>
              <w:suppressLineNumbers w:val="0"/>
              <w:spacing w:before="0" w:beforeAutospacing="0" w:after="0" w:afterAutospacing="0"/>
              <w:ind w:left="0" w:right="0" w:firstLine="420" w:firstLineChars="200"/>
              <w:rPr>
                <w:rFonts w:hint="default" w:ascii="Times New Roman" w:hAnsi="Times New Roman" w:cs="Times New Roman"/>
                <w:highlight w:val="none"/>
              </w:rPr>
            </w:pPr>
            <w:r>
              <w:rPr>
                <w:rFonts w:hint="eastAsia" w:ascii="Times New Roman" w:hAnsi="Times New Roman" w:cs="Times New Roman"/>
                <w:highlight w:val="none"/>
              </w:rPr>
              <w:t>项目负责人自</w:t>
            </w:r>
            <w:r>
              <w:rPr>
                <w:rFonts w:hint="default" w:ascii="Times New Roman" w:hAnsi="Times New Roman" w:cs="Times New Roman"/>
                <w:highlight w:val="none"/>
              </w:rPr>
              <w:t>202</w:t>
            </w:r>
            <w:r>
              <w:rPr>
                <w:rFonts w:hint="eastAsia" w:ascii="Times New Roman" w:hAnsi="Times New Roman" w:cs="Times New Roman"/>
                <w:highlight w:val="none"/>
                <w:lang w:val="en-US" w:eastAsia="zh-CN"/>
              </w:rPr>
              <w:t>3</w:t>
            </w:r>
            <w:r>
              <w:rPr>
                <w:rFonts w:hint="default" w:ascii="Times New Roman" w:hAnsi="Times New Roman" w:cs="Times New Roman"/>
                <w:highlight w:val="none"/>
              </w:rPr>
              <w:t>年1月1日起至今</w:t>
            </w:r>
            <w:r>
              <w:rPr>
                <w:rFonts w:hint="eastAsia" w:ascii="Times New Roman" w:hAnsi="Times New Roman" w:cs="Times New Roman"/>
                <w:highlight w:val="none"/>
              </w:rPr>
              <w:t>，每完成一项工程类审计项目得2分，本项最高得10分。</w:t>
            </w:r>
          </w:p>
        </w:tc>
        <w:tc>
          <w:tcPr>
            <w:tcW w:w="1846" w:type="dxa"/>
            <w:noWrap w:val="0"/>
            <w:vAlign w:val="center"/>
          </w:tcPr>
          <w:p w14:paraId="7334B50F">
            <w:pPr>
              <w:keepNext w:val="0"/>
              <w:keepLines w:val="0"/>
              <w:suppressLineNumbers w:val="0"/>
              <w:spacing w:before="0" w:beforeAutospacing="0" w:after="0" w:afterAutospacing="0"/>
              <w:ind w:left="0" w:right="0" w:firstLine="210" w:firstLineChars="100"/>
              <w:rPr>
                <w:rFonts w:hint="eastAsia" w:ascii="Times New Roman" w:hAnsi="Times New Roman" w:cs="Times New Roman"/>
                <w:highlight w:val="none"/>
              </w:rPr>
            </w:pPr>
            <w:r>
              <w:rPr>
                <w:rFonts w:hint="eastAsia" w:ascii="Times New Roman" w:hAnsi="Times New Roman" w:cs="Times New Roman"/>
                <w:highlight w:val="none"/>
              </w:rPr>
              <w:t>提供审计报告复印件，并加盖公章，未提供不得分。</w:t>
            </w:r>
          </w:p>
        </w:tc>
      </w:tr>
      <w:tr w14:paraId="487059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524" w:type="dxa"/>
            <w:vMerge w:val="continue"/>
            <w:noWrap w:val="0"/>
            <w:vAlign w:val="center"/>
          </w:tcPr>
          <w:p w14:paraId="072CB32B">
            <w:pPr>
              <w:keepNext w:val="0"/>
              <w:keepLines w:val="0"/>
              <w:suppressLineNumbers w:val="0"/>
              <w:spacing w:before="0" w:beforeAutospacing="0" w:after="0" w:afterAutospacing="0"/>
              <w:ind w:left="0" w:right="0" w:firstLine="420" w:firstLineChars="200"/>
              <w:rPr>
                <w:rFonts w:hint="eastAsia" w:ascii="Times New Roman" w:hAnsi="Times New Roman" w:cs="Times New Roman"/>
                <w:highlight w:val="none"/>
              </w:rPr>
            </w:pPr>
          </w:p>
        </w:tc>
        <w:tc>
          <w:tcPr>
            <w:tcW w:w="1441" w:type="dxa"/>
            <w:noWrap w:val="0"/>
            <w:vAlign w:val="center"/>
          </w:tcPr>
          <w:p w14:paraId="52896A33">
            <w:pPr>
              <w:keepNext w:val="0"/>
              <w:keepLines w:val="0"/>
              <w:suppressLineNumbers w:val="0"/>
              <w:spacing w:before="0" w:beforeAutospacing="0" w:after="0" w:afterAutospacing="0"/>
              <w:ind w:left="0" w:right="0" w:firstLine="420" w:firstLineChars="200"/>
              <w:rPr>
                <w:rFonts w:hint="eastAsia" w:ascii="Times New Roman" w:hAnsi="Times New Roman" w:cs="Times New Roman"/>
                <w:highlight w:val="none"/>
              </w:rPr>
            </w:pPr>
            <w:r>
              <w:rPr>
                <w:rFonts w:hint="eastAsia" w:ascii="Times New Roman" w:hAnsi="Times New Roman" w:cs="Times New Roman"/>
                <w:highlight w:val="none"/>
              </w:rPr>
              <w:t>主审人员业绩（10分）</w:t>
            </w:r>
          </w:p>
        </w:tc>
        <w:tc>
          <w:tcPr>
            <w:tcW w:w="3969" w:type="dxa"/>
            <w:noWrap w:val="0"/>
            <w:vAlign w:val="center"/>
          </w:tcPr>
          <w:p w14:paraId="3CB972BF">
            <w:pPr>
              <w:keepNext w:val="0"/>
              <w:keepLines w:val="0"/>
              <w:suppressLineNumbers w:val="0"/>
              <w:spacing w:before="0" w:beforeAutospacing="0" w:after="0" w:afterAutospacing="0"/>
              <w:ind w:left="0" w:right="0" w:firstLine="420" w:firstLineChars="200"/>
              <w:rPr>
                <w:rFonts w:hint="eastAsia" w:ascii="Times New Roman" w:hAnsi="Times New Roman" w:cs="Times New Roman"/>
                <w:highlight w:val="none"/>
              </w:rPr>
            </w:pPr>
            <w:r>
              <w:rPr>
                <w:rFonts w:hint="eastAsia" w:ascii="Times New Roman" w:hAnsi="Times New Roman" w:cs="Times New Roman"/>
                <w:highlight w:val="none"/>
              </w:rPr>
              <w:t>主审人员自</w:t>
            </w:r>
            <w:r>
              <w:rPr>
                <w:rFonts w:hint="default" w:ascii="Times New Roman" w:hAnsi="Times New Roman" w:cs="Times New Roman"/>
                <w:highlight w:val="none"/>
              </w:rPr>
              <w:t>202</w:t>
            </w:r>
            <w:r>
              <w:rPr>
                <w:rFonts w:hint="eastAsia" w:ascii="Times New Roman" w:hAnsi="Times New Roman" w:cs="Times New Roman"/>
                <w:highlight w:val="none"/>
                <w:lang w:val="en-US" w:eastAsia="zh-CN"/>
              </w:rPr>
              <w:t>3</w:t>
            </w:r>
            <w:r>
              <w:rPr>
                <w:rFonts w:hint="default" w:ascii="Times New Roman" w:hAnsi="Times New Roman" w:cs="Times New Roman"/>
                <w:highlight w:val="none"/>
              </w:rPr>
              <w:t>年1月1日起至今</w:t>
            </w:r>
            <w:r>
              <w:rPr>
                <w:rFonts w:hint="eastAsia" w:ascii="Times New Roman" w:hAnsi="Times New Roman" w:cs="Times New Roman"/>
                <w:highlight w:val="none"/>
              </w:rPr>
              <w:t>，每完成一项工程类审计项目得2分，本项最高得10分。</w:t>
            </w:r>
          </w:p>
        </w:tc>
        <w:tc>
          <w:tcPr>
            <w:tcW w:w="1846" w:type="dxa"/>
            <w:noWrap w:val="0"/>
            <w:vAlign w:val="center"/>
          </w:tcPr>
          <w:p w14:paraId="33583287">
            <w:pPr>
              <w:keepNext w:val="0"/>
              <w:keepLines w:val="0"/>
              <w:suppressLineNumbers w:val="0"/>
              <w:spacing w:before="0" w:beforeAutospacing="0" w:after="0" w:afterAutospacing="0"/>
              <w:ind w:left="0" w:right="0" w:firstLine="210" w:firstLineChars="100"/>
              <w:rPr>
                <w:rFonts w:hint="eastAsia" w:ascii="Times New Roman" w:hAnsi="Times New Roman" w:cs="Times New Roman"/>
                <w:highlight w:val="none"/>
              </w:rPr>
            </w:pPr>
            <w:r>
              <w:rPr>
                <w:rFonts w:hint="eastAsia" w:ascii="Times New Roman" w:hAnsi="Times New Roman" w:cs="Times New Roman"/>
                <w:highlight w:val="none"/>
              </w:rPr>
              <w:t>提供审计报告复印件，并加盖公章，未提供不得分。</w:t>
            </w:r>
          </w:p>
        </w:tc>
      </w:tr>
      <w:tr w14:paraId="66979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5" w:hRule="atLeast"/>
          <w:jc w:val="center"/>
        </w:trPr>
        <w:tc>
          <w:tcPr>
            <w:tcW w:w="1524" w:type="dxa"/>
            <w:noWrap w:val="0"/>
            <w:vAlign w:val="center"/>
          </w:tcPr>
          <w:p w14:paraId="68148C0C">
            <w:pPr>
              <w:keepNext w:val="0"/>
              <w:keepLines w:val="0"/>
              <w:suppressLineNumbers w:val="0"/>
              <w:spacing w:before="0" w:beforeAutospacing="0" w:after="0" w:afterAutospacing="0"/>
              <w:ind w:left="0" w:right="0"/>
              <w:jc w:val="center"/>
              <w:rPr>
                <w:rFonts w:hint="eastAsia" w:ascii="宋体" w:hAnsi="宋体" w:cs="宋体"/>
                <w:szCs w:val="21"/>
                <w:highlight w:val="none"/>
                <w:lang w:val="zh-CN"/>
              </w:rPr>
            </w:pPr>
            <w:r>
              <w:rPr>
                <w:rFonts w:hint="eastAsia" w:ascii="Times New Roman" w:hAnsi="Times New Roman" w:cs="Times New Roman"/>
                <w:highlight w:val="none"/>
              </w:rPr>
              <w:t>售后服务方案（</w:t>
            </w:r>
            <w:r>
              <w:rPr>
                <w:rFonts w:hint="eastAsia" w:ascii="Times New Roman" w:hAnsi="Times New Roman" w:cs="Times New Roman"/>
                <w:highlight w:val="none"/>
                <w:lang w:val="en-US" w:eastAsia="zh-CN"/>
              </w:rPr>
              <w:t xml:space="preserve">15                    </w:t>
            </w:r>
            <w:r>
              <w:rPr>
                <w:rFonts w:hint="eastAsia" w:ascii="Times New Roman" w:hAnsi="Times New Roman" w:cs="Times New Roman"/>
                <w:highlight w:val="none"/>
              </w:rPr>
              <w:t>分）</w:t>
            </w:r>
          </w:p>
        </w:tc>
        <w:tc>
          <w:tcPr>
            <w:tcW w:w="7256" w:type="dxa"/>
            <w:gridSpan w:val="3"/>
            <w:noWrap w:val="0"/>
            <w:vAlign w:val="center"/>
          </w:tcPr>
          <w:p w14:paraId="3E0D90C6">
            <w:pPr>
              <w:keepNext w:val="0"/>
              <w:keepLines w:val="0"/>
              <w:suppressLineNumbers w:val="0"/>
              <w:spacing w:before="0" w:beforeAutospacing="0" w:after="0" w:afterAutospacing="0"/>
              <w:ind w:left="0" w:right="0" w:firstLine="420" w:firstLineChars="200"/>
              <w:rPr>
                <w:rFonts w:hint="default" w:ascii="Times New Roman" w:hAnsi="Times New Roman" w:cs="Times New Roman"/>
                <w:highlight w:val="none"/>
              </w:rPr>
            </w:pPr>
            <w:r>
              <w:rPr>
                <w:rFonts w:hint="default" w:ascii="Times New Roman" w:hAnsi="Times New Roman" w:cs="Times New Roman"/>
                <w:highlight w:val="none"/>
              </w:rPr>
              <w:t>后续服务和承诺①后期服务质量保障、②后期服务方式、③后期人员配置等</w:t>
            </w:r>
            <w:r>
              <w:rPr>
                <w:rFonts w:hint="eastAsia" w:ascii="宋体" w:hAnsi="宋体" w:cs="宋体"/>
                <w:szCs w:val="21"/>
                <w:highlight w:val="none"/>
              </w:rPr>
              <w:t>方案符合磋商文件要求，内容齐全无缺陷得15分，缺少一项内容扣5分，每有一处缺陷(内容不完善，分析不够全面，理解存在偏差等)扣2.5分。</w:t>
            </w:r>
          </w:p>
        </w:tc>
      </w:tr>
    </w:tbl>
    <w:p w14:paraId="75E0D40E">
      <w:pPr>
        <w:pStyle w:val="2"/>
        <w:rPr>
          <w:rFonts w:hint="default"/>
          <w:lang w:val="en-US" w:eastAsia="zh-CN"/>
        </w:rPr>
      </w:pPr>
    </w:p>
    <w:p w14:paraId="218541FD">
      <w:pPr>
        <w:keepNext w:val="0"/>
        <w:keepLines w:val="0"/>
        <w:pageBreakBefore w:val="0"/>
        <w:tabs>
          <w:tab w:val="left" w:pos="851"/>
        </w:tabs>
        <w:kinsoku/>
        <w:overflowPunct/>
        <w:topLinePunct w:val="0"/>
        <w:bidi w:val="0"/>
        <w:adjustRightInd w:val="0"/>
        <w:snapToGrid w:val="0"/>
        <w:spacing w:line="360" w:lineRule="auto"/>
        <w:ind w:firstLine="422" w:firstLineChars="200"/>
        <w:jc w:val="left"/>
        <w:textAlignment w:val="auto"/>
        <w:outlineLvl w:val="9"/>
        <w:rPr>
          <w:color w:val="auto"/>
          <w:highlight w:val="none"/>
        </w:rPr>
      </w:pPr>
      <w:r>
        <w:rPr>
          <w:rFonts w:hint="eastAsia"/>
          <w:b/>
          <w:bCs/>
          <w:color w:val="auto"/>
          <w:szCs w:val="21"/>
          <w:highlight w:val="none"/>
        </w:rPr>
        <w:t>备注</w:t>
      </w:r>
      <w:r>
        <w:rPr>
          <w:rFonts w:hint="eastAsia"/>
          <w:b/>
          <w:bCs/>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w:t>
      </w:r>
      <w:r>
        <w:rPr>
          <w:rFonts w:hint="eastAsia" w:ascii="宋体" w:hAnsi="宋体" w:cs="宋体"/>
          <w:b/>
          <w:bCs/>
          <w:color w:val="auto"/>
          <w:szCs w:val="21"/>
          <w:highlight w:val="none"/>
        </w:rPr>
        <w:t>评分的取值按四舍五入法，保留小数点后两位。本表中要求提供的复印件材料，均需加盖供应商单位公章，否则将不认可该项复印件材料的有效性。</w:t>
      </w:r>
    </w:p>
    <w:p w14:paraId="00AE59A5">
      <w:pPr>
        <w:keepNext w:val="0"/>
        <w:keepLines w:val="0"/>
        <w:pageBreakBefore w:val="0"/>
        <w:tabs>
          <w:tab w:val="left" w:pos="851"/>
        </w:tabs>
        <w:kinsoku/>
        <w:overflowPunct/>
        <w:topLinePunct w:val="0"/>
        <w:bidi w:val="0"/>
        <w:adjustRightInd w:val="0"/>
        <w:snapToGrid w:val="0"/>
        <w:spacing w:line="360" w:lineRule="auto"/>
        <w:ind w:firstLine="482" w:firstLineChars="200"/>
        <w:jc w:val="left"/>
        <w:textAlignment w:val="auto"/>
        <w:outlineLvl w:val="9"/>
        <w:rPr>
          <w:rFonts w:hint="eastAsia" w:ascii="宋体" w:hAnsi="宋体" w:cs="宋体"/>
          <w:color w:val="auto"/>
          <w:sz w:val="24"/>
          <w:highlight w:val="none"/>
        </w:rPr>
      </w:pPr>
      <w:r>
        <w:rPr>
          <w:rFonts w:hint="eastAsia" w:ascii="宋体" w:hAnsi="宋体" w:cs="宋体"/>
          <w:b/>
          <w:color w:val="auto"/>
          <w:sz w:val="24"/>
          <w:highlight w:val="none"/>
        </w:rPr>
        <w:t>4.磋商纪律及注意事项</w:t>
      </w:r>
      <w:bookmarkEnd w:id="107"/>
      <w:bookmarkEnd w:id="108"/>
      <w:bookmarkEnd w:id="109"/>
    </w:p>
    <w:p w14:paraId="4243218B">
      <w:pPr>
        <w:keepNext w:val="0"/>
        <w:keepLines w:val="0"/>
        <w:pageBreakBefore w:val="0"/>
        <w:tabs>
          <w:tab w:val="left" w:pos="851"/>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4.1磋商小组内部讨论的情况和意见必须保密，任何人不得以任何形式透露给供应商或与供应商有关的单位或个人。</w:t>
      </w:r>
    </w:p>
    <w:p w14:paraId="599BDDF0">
      <w:pPr>
        <w:keepNext w:val="0"/>
        <w:keepLines w:val="0"/>
        <w:pageBreakBefore w:val="0"/>
        <w:tabs>
          <w:tab w:val="left" w:pos="851"/>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4.2在磋商过程中，供应商不得以任何形式对磋商小组成员进行旨在影响磋商结果的私下接触，否则将取消其参与磋商的资格。</w:t>
      </w:r>
    </w:p>
    <w:p w14:paraId="550CDC86">
      <w:pPr>
        <w:keepNext w:val="0"/>
        <w:keepLines w:val="0"/>
        <w:pageBreakBefore w:val="0"/>
        <w:tabs>
          <w:tab w:val="left" w:pos="851"/>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4.3对各供应商的商业秘密，磋商小组成员应予以保密，不得泄露给其他供应商。</w:t>
      </w:r>
    </w:p>
    <w:p w14:paraId="00FB9803">
      <w:pPr>
        <w:keepNext w:val="0"/>
        <w:keepLines w:val="0"/>
        <w:pageBreakBefore w:val="0"/>
        <w:tabs>
          <w:tab w:val="left" w:pos="851"/>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4.4 磋商小组独立评判，推荐成交候选人，并写出书面报告。</w:t>
      </w:r>
    </w:p>
    <w:p w14:paraId="28BD03D1">
      <w:pPr>
        <w:keepNext w:val="0"/>
        <w:keepLines w:val="0"/>
        <w:pageBreakBefore w:val="0"/>
        <w:tabs>
          <w:tab w:val="left" w:pos="851"/>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4.5 磋商小组可根据需要对供应商进行实地考察。</w:t>
      </w:r>
    </w:p>
    <w:p w14:paraId="28219C77">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bookmarkStart w:id="110" w:name="_Toc17129"/>
      <w:bookmarkStart w:id="111" w:name="_Toc17386"/>
      <w:bookmarkStart w:id="112" w:name="_Toc2593"/>
      <w:r>
        <w:rPr>
          <w:rFonts w:hint="eastAsia" w:ascii="宋体" w:hAnsi="宋体" w:cs="宋体"/>
          <w:color w:val="auto"/>
          <w:sz w:val="24"/>
          <w:highlight w:val="none"/>
        </w:rPr>
        <w:t>5.</w:t>
      </w:r>
      <w:r>
        <w:rPr>
          <w:rFonts w:hint="eastAsia" w:ascii="宋体" w:hAnsi="宋体" w:cs="宋体"/>
          <w:b/>
          <w:color w:val="auto"/>
          <w:sz w:val="24"/>
          <w:highlight w:val="none"/>
        </w:rPr>
        <w:t>磋商小组在政府采购活动中承担以下义务：</w:t>
      </w:r>
      <w:bookmarkEnd w:id="110"/>
      <w:bookmarkEnd w:id="111"/>
      <w:bookmarkEnd w:id="112"/>
    </w:p>
    <w:p w14:paraId="2182FA90">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（一）遵守评审工作纪律；</w:t>
      </w:r>
    </w:p>
    <w:p w14:paraId="238B6733">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（二）按照客观、公正、审慎的原则，根据磋商文件规定的评审程序、评审方法和评审标准进行独立评审；</w:t>
      </w:r>
    </w:p>
    <w:p w14:paraId="375F5442">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（三）不得泄露评审文件、评审情况和在评审过程中获悉的商业秘密；</w:t>
      </w:r>
    </w:p>
    <w:p w14:paraId="63ACDD8F">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（四）及时向财政部门报告评审过程中发现的采购人、采购代理机构向评审专家做倾向性、误导性的解释或者说明，以及供应商行贿、提供虚假材料或者串通等违法行为；</w:t>
      </w:r>
    </w:p>
    <w:p w14:paraId="1BEBD451">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（五）发现磋商文件内容违反国家有关强制性规定或者磋商文件存在歧义、重大缺陷导致评审工作无法进行时，停止评审并向采购人或者采购代理机构书面说明情况；</w:t>
      </w:r>
    </w:p>
    <w:p w14:paraId="43CA35B1">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（六）及时向财政、监察等部门举报在评审过程中受到非法干预的情况；</w:t>
      </w:r>
    </w:p>
    <w:p w14:paraId="64CD7809">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（七）配合答复处理供应商的询问、质疑和投诉等事项；</w:t>
      </w:r>
    </w:p>
    <w:p w14:paraId="59105A3D">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（八）法律、法规和规章规定的其他义务。</w:t>
      </w:r>
    </w:p>
    <w:p w14:paraId="44F07127">
      <w:pPr>
        <w:keepNext w:val="0"/>
        <w:keepLines w:val="0"/>
        <w:pageBreakBefore w:val="0"/>
        <w:tabs>
          <w:tab w:val="left" w:pos="7665"/>
        </w:tabs>
        <w:kinsoku/>
        <w:overflowPunct/>
        <w:topLinePunct w:val="0"/>
        <w:bidi w:val="0"/>
        <w:adjustRightInd w:val="0"/>
        <w:snapToGrid w:val="0"/>
        <w:spacing w:line="360" w:lineRule="auto"/>
        <w:ind w:firstLine="361" w:firstLineChars="150"/>
        <w:jc w:val="left"/>
        <w:textAlignment w:val="auto"/>
        <w:outlineLvl w:val="9"/>
        <w:rPr>
          <w:rFonts w:hint="eastAsia" w:ascii="宋体" w:hAnsi="宋体" w:cs="宋体"/>
          <w:color w:val="auto"/>
          <w:sz w:val="24"/>
          <w:highlight w:val="none"/>
        </w:rPr>
      </w:pPr>
      <w:bookmarkStart w:id="113" w:name="_Toc31178"/>
      <w:bookmarkStart w:id="114" w:name="_Toc4381"/>
      <w:bookmarkStart w:id="115" w:name="_Toc31774"/>
      <w:r>
        <w:rPr>
          <w:rFonts w:hint="eastAsia" w:ascii="宋体" w:hAnsi="宋体" w:cs="宋体"/>
          <w:b/>
          <w:color w:val="auto"/>
          <w:sz w:val="24"/>
          <w:highlight w:val="none"/>
        </w:rPr>
        <w:t>6.评审专家在政府采购活动中应当遵守以下工作纪律：</w:t>
      </w:r>
      <w:bookmarkEnd w:id="113"/>
      <w:bookmarkEnd w:id="114"/>
      <w:bookmarkEnd w:id="115"/>
    </w:p>
    <w:p w14:paraId="612FFEB7">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（一）不得参加与自己有《中华人民共和国政府采购法实施条例》第九条规定的利害关系的政府采购项目的评标活动。发现参加了与自己有利害关系的评审活动，须主动提出回避，退出评审；</w:t>
      </w:r>
    </w:p>
    <w:p w14:paraId="76095D04">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（二）评审前，应当将通讯工具或者相关电子设备交由采购代理机构统一保管；</w:t>
      </w:r>
    </w:p>
    <w:p w14:paraId="28C3C7B7">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（三）评审过程中，不得与外界联系，因发生不可预见情况，确实需要与外界联系的，应当在监督人员监督之下办理；</w:t>
      </w:r>
    </w:p>
    <w:p w14:paraId="7E515391">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14:paraId="2627ECA2">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（五）在评审过程中和评审结束后，不得记录、复制或带走任何评审资料，不得向外界透露评审内容；</w:t>
      </w:r>
    </w:p>
    <w:p w14:paraId="69065C3D">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（六）评审现场服从采购代理机构工作人员的管理，接受现场监督人员的合法监督；</w:t>
      </w:r>
    </w:p>
    <w:p w14:paraId="23D408ED">
      <w:pPr>
        <w:keepNext w:val="0"/>
        <w:keepLines w:val="0"/>
        <w:pageBreakBefore w:val="0"/>
        <w:tabs>
          <w:tab w:val="left" w:pos="7665"/>
        </w:tabs>
        <w:kinsoku/>
        <w:overflowPunct/>
        <w:topLinePunct w:val="0"/>
        <w:bidi w:val="0"/>
        <w:adjustRightInd w:val="0"/>
        <w:snapToGrid w:val="0"/>
        <w:spacing w:line="360" w:lineRule="auto"/>
        <w:ind w:firstLine="360" w:firstLineChars="150"/>
        <w:jc w:val="left"/>
        <w:textAlignment w:val="auto"/>
        <w:outlineLvl w:val="9"/>
        <w:rPr>
          <w:rFonts w:hint="eastAsia" w:ascii="宋体" w:hAnsi="宋体" w:cs="宋体"/>
          <w:color w:val="auto"/>
          <w:sz w:val="24"/>
          <w:highlight w:val="none"/>
        </w:rPr>
      </w:pPr>
      <w:r>
        <w:rPr>
          <w:rFonts w:hint="eastAsia" w:ascii="宋体" w:hAnsi="宋体" w:cs="宋体"/>
          <w:color w:val="auto"/>
          <w:sz w:val="24"/>
          <w:highlight w:val="none"/>
        </w:rPr>
        <w:t>（七）遵守有关廉洁自律规定，不得私下接触供应商，不得收受供应商及有关业务单位和个人的财物或好处，不得接受采购代理机构的请托。</w:t>
      </w:r>
    </w:p>
    <w:p w14:paraId="1F55153E">
      <w:pPr>
        <w:keepNext w:val="0"/>
        <w:keepLines w:val="0"/>
        <w:pageBreakBefore w:val="0"/>
        <w:widowControl w:val="0"/>
        <w:tabs>
          <w:tab w:val="left" w:pos="7665"/>
        </w:tabs>
        <w:kinsoku/>
        <w:wordWrap/>
        <w:overflowPunct/>
        <w:topLinePunct w:val="0"/>
        <w:autoSpaceDE/>
        <w:autoSpaceDN/>
        <w:bidi w:val="0"/>
        <w:adjustRightInd w:val="0"/>
        <w:snapToGrid w:val="0"/>
        <w:spacing w:line="360" w:lineRule="auto"/>
        <w:ind w:firstLine="360" w:firstLineChars="150"/>
        <w:jc w:val="center"/>
        <w:textAlignment w:val="auto"/>
        <w:outlineLvl w:val="0"/>
        <w:rPr>
          <w:rFonts w:hint="eastAsia" w:ascii="宋体" w:hAnsi="宋体" w:cs="宋体"/>
          <w:b/>
          <w:color w:val="auto"/>
          <w:sz w:val="32"/>
          <w:szCs w:val="32"/>
          <w:highlight w:val="none"/>
        </w:rPr>
      </w:pPr>
      <w:r>
        <w:rPr>
          <w:rFonts w:hint="eastAsia" w:ascii="宋体" w:hAnsi="宋体" w:cs="宋体"/>
          <w:color w:val="auto"/>
          <w:sz w:val="24"/>
          <w:highlight w:val="none"/>
        </w:rPr>
        <w:br w:type="page"/>
      </w:r>
      <w:bookmarkStart w:id="116" w:name="_Toc5100"/>
      <w:bookmarkStart w:id="117" w:name="_Toc6034"/>
      <w:bookmarkStart w:id="118" w:name="_Toc27601"/>
      <w:bookmarkStart w:id="119" w:name="_Toc20762"/>
      <w:bookmarkStart w:id="120" w:name="_Toc31069"/>
      <w:bookmarkStart w:id="121" w:name="_Toc3298"/>
      <w:bookmarkStart w:id="122" w:name="_Toc1145357285"/>
      <w:bookmarkStart w:id="123" w:name="_Toc9280"/>
      <w:bookmarkStart w:id="124" w:name="_Toc2390"/>
      <w:r>
        <w:rPr>
          <w:rFonts w:hint="eastAsia" w:ascii="宋体" w:hAnsi="宋体" w:cs="宋体"/>
          <w:b/>
          <w:color w:val="auto"/>
          <w:sz w:val="32"/>
          <w:szCs w:val="32"/>
          <w:highlight w:val="none"/>
        </w:rPr>
        <w:t>第十章</w:t>
      </w:r>
      <w:bookmarkEnd w:id="116"/>
      <w:bookmarkEnd w:id="117"/>
      <w:r>
        <w:rPr>
          <w:rFonts w:hint="eastAsia" w:ascii="宋体" w:hAnsi="宋体" w:cs="宋体"/>
          <w:b/>
          <w:color w:val="auto"/>
          <w:sz w:val="32"/>
          <w:szCs w:val="32"/>
          <w:highlight w:val="none"/>
        </w:rPr>
        <w:t xml:space="preserve">  采购合同(草案)</w:t>
      </w:r>
      <w:bookmarkEnd w:id="118"/>
      <w:bookmarkEnd w:id="119"/>
      <w:bookmarkEnd w:id="120"/>
      <w:bookmarkEnd w:id="121"/>
      <w:bookmarkEnd w:id="122"/>
      <w:bookmarkEnd w:id="123"/>
      <w:bookmarkEnd w:id="124"/>
    </w:p>
    <w:p w14:paraId="4E0152CE">
      <w:pPr>
        <w:pageBreakBefore w:val="0"/>
        <w:widowControl w:val="0"/>
        <w:kinsoku/>
        <w:wordWrap/>
        <w:overflowPunct/>
        <w:topLinePunct w:val="0"/>
        <w:autoSpaceDE/>
        <w:autoSpaceDN/>
        <w:bidi w:val="0"/>
        <w:adjustRightInd/>
        <w:snapToGrid/>
        <w:spacing w:line="360" w:lineRule="auto"/>
        <w:ind w:firstLine="600" w:firstLineChars="250"/>
        <w:jc w:val="left"/>
        <w:textAlignment w:val="auto"/>
        <w:outlineLvl w:val="9"/>
        <w:rPr>
          <w:rFonts w:hint="eastAsia" w:ascii="宋体" w:hAnsi="宋体" w:cs="宋体"/>
          <w:color w:val="auto"/>
          <w:sz w:val="24"/>
          <w:highlight w:val="none"/>
          <w:lang w:eastAsia="zh-CN"/>
        </w:rPr>
      </w:pPr>
      <w:bookmarkStart w:id="125" w:name="_Hlt101846155"/>
      <w:bookmarkEnd w:id="125"/>
      <w:r>
        <w:rPr>
          <w:rFonts w:hint="eastAsia" w:ascii="宋体" w:hAnsi="宋体" w:cs="宋体"/>
          <w:color w:val="auto"/>
          <w:sz w:val="24"/>
          <w:highlight w:val="none"/>
          <w:lang w:eastAsia="zh-CN"/>
        </w:rPr>
        <w:t>本项目采购合同（草案）以《建设工程造价咨询合同（示范文本）》（GF-2015-0212，住房和城乡建设部、原国家工商行政管理总局联合发布）为基础制定。</w:t>
      </w:r>
    </w:p>
    <w:p w14:paraId="6BE6CD27">
      <w:pPr>
        <w:pageBreakBefore w:val="0"/>
        <w:widowControl w:val="0"/>
        <w:kinsoku/>
        <w:wordWrap/>
        <w:overflowPunct/>
        <w:topLinePunct w:val="0"/>
        <w:autoSpaceDE/>
        <w:autoSpaceDN/>
        <w:bidi w:val="0"/>
        <w:adjustRightInd/>
        <w:snapToGrid/>
        <w:spacing w:line="360" w:lineRule="auto"/>
        <w:ind w:firstLine="600" w:firstLineChars="250"/>
        <w:jc w:val="left"/>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其中通用条件部分直接沿用该示范文本的通用条款，本磋商文件不再重复列示全文；专用条件及政府采购补充条款按照本次磋商文件第五章采购需求及相关要求约定，</w:t>
      </w:r>
      <w:r>
        <w:rPr>
          <w:rStyle w:val="35"/>
          <w:rFonts w:ascii="宋体" w:hAnsi="宋体" w:eastAsia="宋体" w:cs="宋体"/>
          <w:color w:val="000000"/>
          <w:sz w:val="24"/>
          <w:szCs w:val="24"/>
        </w:rPr>
        <w:t>本次磋商文件</w:t>
      </w:r>
      <w:r>
        <w:rPr>
          <w:rStyle w:val="35"/>
          <w:rFonts w:hint="eastAsia" w:ascii="宋体" w:hAnsi="宋体" w:eastAsia="宋体" w:cs="宋体"/>
          <w:color w:val="000000"/>
          <w:sz w:val="24"/>
          <w:szCs w:val="24"/>
        </w:rPr>
        <w:t>第五章  采购项目技术、服务、政府采购履约主要条款及其他商务要求</w:t>
      </w:r>
      <w:r>
        <w:rPr>
          <w:rStyle w:val="35"/>
          <w:rFonts w:hint="eastAsia" w:ascii="宋体" w:hAnsi="宋体" w:cs="宋体"/>
          <w:color w:val="000000"/>
          <w:sz w:val="24"/>
          <w:szCs w:val="24"/>
          <w:lang w:val="en-US" w:eastAsia="zh-CN"/>
        </w:rPr>
        <w:t>写入合同</w:t>
      </w:r>
      <w:r>
        <w:rPr>
          <w:rFonts w:ascii="宋体" w:hAnsi="宋体" w:eastAsia="宋体" w:cs="宋体"/>
          <w:sz w:val="24"/>
          <w:szCs w:val="24"/>
        </w:rPr>
        <w:t>，与专用条件具有同等法律效力。</w:t>
      </w:r>
    </w:p>
    <w:sectPr>
      <w:footerReference r:id="rId4" w:type="default"/>
      <w:pgSz w:w="11906" w:h="16838"/>
      <w:pgMar w:top="1417" w:right="1417" w:bottom="141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Tms Rmn">
    <w:altName w:val="Times New Roman"/>
    <w:panose1 w:val="02020603040505020304"/>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ì.">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E4F7B">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491B8D">
                          <w:pPr>
                            <w:pStyle w:val="20"/>
                          </w:pPr>
                          <w:r>
                            <w:fldChar w:fldCharType="begin"/>
                          </w:r>
                          <w:r>
                            <w:instrText xml:space="preserve"> PAGE  \* MERGEFORMAT </w:instrText>
                          </w:r>
                          <w:r>
                            <w:fldChar w:fldCharType="separate"/>
                          </w:r>
                          <w:r>
                            <w:t>27</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fPguckBAACZ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h8+C5yQEAAJkDAAAOAAAAAAAAAAEAIAAAAB4BAABkcnMvZTJvRG9j&#10;LnhtbFBLBQYAAAAABgAGAFkBAABZBQAAAAA=&#10;">
              <v:fill on="f" focussize="0,0"/>
              <v:stroke on="f"/>
              <v:imagedata o:title=""/>
              <o:lock v:ext="edit" aspectratio="f"/>
              <v:textbox inset="0mm,0mm,0mm,0mm" style="mso-fit-shape-to-text:t;">
                <w:txbxContent>
                  <w:p w14:paraId="6A491B8D">
                    <w:pPr>
                      <w:pStyle w:val="20"/>
                    </w:pPr>
                    <w:r>
                      <w:fldChar w:fldCharType="begin"/>
                    </w:r>
                    <w:r>
                      <w:instrText xml:space="preserve"> PAGE  \* MERGEFORMAT </w:instrText>
                    </w:r>
                    <w:r>
                      <w:fldChar w:fldCharType="separate"/>
                    </w:r>
                    <w:r>
                      <w:t>27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1ED0D">
    <w:pPr>
      <w:pStyle w:val="2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90296D"/>
    <w:multiLevelType w:val="singleLevel"/>
    <w:tmpl w:val="E690296D"/>
    <w:lvl w:ilvl="0" w:tentative="0">
      <w:start w:val="2"/>
      <w:numFmt w:val="decimal"/>
      <w:lvlText w:val="%1."/>
      <w:lvlJc w:val="left"/>
      <w:pPr>
        <w:tabs>
          <w:tab w:val="left" w:pos="312"/>
        </w:tabs>
      </w:pPr>
    </w:lvl>
  </w:abstractNum>
  <w:abstractNum w:abstractNumId="1">
    <w:nsid w:val="E7F510DC"/>
    <w:multiLevelType w:val="singleLevel"/>
    <w:tmpl w:val="E7F510DC"/>
    <w:lvl w:ilvl="0" w:tentative="0">
      <w:start w:val="2"/>
      <w:numFmt w:val="chineseCounting"/>
      <w:suff w:val="nothing"/>
      <w:lvlText w:val="%1、"/>
      <w:lvlJc w:val="left"/>
      <w:rPr>
        <w:rFonts w:hint="eastAsia"/>
      </w:rPr>
    </w:lvl>
  </w:abstractNum>
  <w:abstractNum w:abstractNumId="2">
    <w:nsid w:val="14D79944"/>
    <w:multiLevelType w:val="singleLevel"/>
    <w:tmpl w:val="14D79944"/>
    <w:lvl w:ilvl="0" w:tentative="0">
      <w:start w:val="3"/>
      <w:numFmt w:val="chineseCounting"/>
      <w:suff w:val="nothing"/>
      <w:lvlText w:val="%1、"/>
      <w:lvlJc w:val="left"/>
      <w:rPr>
        <w:rFonts w:hint="eastAsia"/>
      </w:rPr>
    </w:lvl>
  </w:abstractNum>
  <w:abstractNum w:abstractNumId="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74"/>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iMmIwZTIzNjI2NDU0MWZkNjY5OTg1NjljNjBhODYifQ=="/>
    <w:docVar w:name="KSO_WPS_MARK_KEY" w:val="6bbacce7-8ceb-4ac0-a830-07f569354734"/>
  </w:docVars>
  <w:rsids>
    <w:rsidRoot w:val="007C12CC"/>
    <w:rsid w:val="00001660"/>
    <w:rsid w:val="00004B89"/>
    <w:rsid w:val="0001149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371FB"/>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57D2D"/>
    <w:rsid w:val="00061464"/>
    <w:rsid w:val="0006243C"/>
    <w:rsid w:val="0006264C"/>
    <w:rsid w:val="000657E0"/>
    <w:rsid w:val="0006634F"/>
    <w:rsid w:val="0006738D"/>
    <w:rsid w:val="000708BC"/>
    <w:rsid w:val="000727F2"/>
    <w:rsid w:val="000731F0"/>
    <w:rsid w:val="000739F4"/>
    <w:rsid w:val="00073B7E"/>
    <w:rsid w:val="00074138"/>
    <w:rsid w:val="000743DD"/>
    <w:rsid w:val="0007588A"/>
    <w:rsid w:val="00081A37"/>
    <w:rsid w:val="00082B75"/>
    <w:rsid w:val="000834B0"/>
    <w:rsid w:val="000839BF"/>
    <w:rsid w:val="00084183"/>
    <w:rsid w:val="0008602F"/>
    <w:rsid w:val="000867B4"/>
    <w:rsid w:val="00086A4E"/>
    <w:rsid w:val="00087D63"/>
    <w:rsid w:val="00090600"/>
    <w:rsid w:val="00090A00"/>
    <w:rsid w:val="00092B4C"/>
    <w:rsid w:val="000932AA"/>
    <w:rsid w:val="00093ABA"/>
    <w:rsid w:val="000958DC"/>
    <w:rsid w:val="000962DA"/>
    <w:rsid w:val="000A0A47"/>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614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5D71"/>
    <w:rsid w:val="000E6476"/>
    <w:rsid w:val="000E6CD7"/>
    <w:rsid w:val="000F422B"/>
    <w:rsid w:val="000F430D"/>
    <w:rsid w:val="000F45A9"/>
    <w:rsid w:val="000F6854"/>
    <w:rsid w:val="000F6956"/>
    <w:rsid w:val="000F6CC9"/>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0002"/>
    <w:rsid w:val="00131F14"/>
    <w:rsid w:val="001329EB"/>
    <w:rsid w:val="00133079"/>
    <w:rsid w:val="001345C8"/>
    <w:rsid w:val="0013590F"/>
    <w:rsid w:val="00136485"/>
    <w:rsid w:val="00136D53"/>
    <w:rsid w:val="00141A54"/>
    <w:rsid w:val="00141D8F"/>
    <w:rsid w:val="00142470"/>
    <w:rsid w:val="0014425B"/>
    <w:rsid w:val="001451F2"/>
    <w:rsid w:val="001464DD"/>
    <w:rsid w:val="001500D3"/>
    <w:rsid w:val="00150BFF"/>
    <w:rsid w:val="00151441"/>
    <w:rsid w:val="00152074"/>
    <w:rsid w:val="00153D4C"/>
    <w:rsid w:val="0015550E"/>
    <w:rsid w:val="00156466"/>
    <w:rsid w:val="00156D44"/>
    <w:rsid w:val="001575FD"/>
    <w:rsid w:val="00157B2D"/>
    <w:rsid w:val="00161AEF"/>
    <w:rsid w:val="00162078"/>
    <w:rsid w:val="0016341A"/>
    <w:rsid w:val="001648CD"/>
    <w:rsid w:val="001652F8"/>
    <w:rsid w:val="00165833"/>
    <w:rsid w:val="00167ED2"/>
    <w:rsid w:val="00170C8C"/>
    <w:rsid w:val="001746B3"/>
    <w:rsid w:val="00175AEB"/>
    <w:rsid w:val="001763A5"/>
    <w:rsid w:val="0018004A"/>
    <w:rsid w:val="001836F5"/>
    <w:rsid w:val="0018382C"/>
    <w:rsid w:val="0018390E"/>
    <w:rsid w:val="00183F9B"/>
    <w:rsid w:val="00185A39"/>
    <w:rsid w:val="00185F2C"/>
    <w:rsid w:val="00186A43"/>
    <w:rsid w:val="00186AEA"/>
    <w:rsid w:val="001876EA"/>
    <w:rsid w:val="00187C36"/>
    <w:rsid w:val="00187D88"/>
    <w:rsid w:val="001902EE"/>
    <w:rsid w:val="0019037D"/>
    <w:rsid w:val="00193802"/>
    <w:rsid w:val="00193E56"/>
    <w:rsid w:val="001961BF"/>
    <w:rsid w:val="00196A94"/>
    <w:rsid w:val="00196B7A"/>
    <w:rsid w:val="001974BF"/>
    <w:rsid w:val="0019756E"/>
    <w:rsid w:val="001A0BE4"/>
    <w:rsid w:val="001A4D34"/>
    <w:rsid w:val="001A67F1"/>
    <w:rsid w:val="001A761A"/>
    <w:rsid w:val="001B053F"/>
    <w:rsid w:val="001B1F0F"/>
    <w:rsid w:val="001B22E9"/>
    <w:rsid w:val="001B334A"/>
    <w:rsid w:val="001B3E78"/>
    <w:rsid w:val="001B4B2D"/>
    <w:rsid w:val="001B799E"/>
    <w:rsid w:val="001C2CAE"/>
    <w:rsid w:val="001C4A5B"/>
    <w:rsid w:val="001C5AF6"/>
    <w:rsid w:val="001C648C"/>
    <w:rsid w:val="001D0F62"/>
    <w:rsid w:val="001D2331"/>
    <w:rsid w:val="001D3913"/>
    <w:rsid w:val="001D4D72"/>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0EC6"/>
    <w:rsid w:val="0020193F"/>
    <w:rsid w:val="00203068"/>
    <w:rsid w:val="00205336"/>
    <w:rsid w:val="00206D18"/>
    <w:rsid w:val="0021013C"/>
    <w:rsid w:val="002120D0"/>
    <w:rsid w:val="002125E6"/>
    <w:rsid w:val="00215638"/>
    <w:rsid w:val="0021668E"/>
    <w:rsid w:val="00220283"/>
    <w:rsid w:val="00223A05"/>
    <w:rsid w:val="00224333"/>
    <w:rsid w:val="00224CDC"/>
    <w:rsid w:val="002270B2"/>
    <w:rsid w:val="00227BE7"/>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4660"/>
    <w:rsid w:val="00265C75"/>
    <w:rsid w:val="00265F18"/>
    <w:rsid w:val="002665C5"/>
    <w:rsid w:val="002703E3"/>
    <w:rsid w:val="00272326"/>
    <w:rsid w:val="0027252A"/>
    <w:rsid w:val="00275A0C"/>
    <w:rsid w:val="00277B58"/>
    <w:rsid w:val="00280D8F"/>
    <w:rsid w:val="00281347"/>
    <w:rsid w:val="002831B8"/>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A9"/>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083D"/>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1A5F"/>
    <w:rsid w:val="0031253B"/>
    <w:rsid w:val="00314009"/>
    <w:rsid w:val="00315A72"/>
    <w:rsid w:val="0031795E"/>
    <w:rsid w:val="00321BCE"/>
    <w:rsid w:val="003224F2"/>
    <w:rsid w:val="00322564"/>
    <w:rsid w:val="003230A0"/>
    <w:rsid w:val="00323546"/>
    <w:rsid w:val="0032451F"/>
    <w:rsid w:val="003245A1"/>
    <w:rsid w:val="00326D5D"/>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2198"/>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86C65"/>
    <w:rsid w:val="003924E0"/>
    <w:rsid w:val="00394101"/>
    <w:rsid w:val="00394E0E"/>
    <w:rsid w:val="00395323"/>
    <w:rsid w:val="00395A66"/>
    <w:rsid w:val="0039654A"/>
    <w:rsid w:val="0039658A"/>
    <w:rsid w:val="00396685"/>
    <w:rsid w:val="003A44B1"/>
    <w:rsid w:val="003A69CB"/>
    <w:rsid w:val="003B035C"/>
    <w:rsid w:val="003B07A2"/>
    <w:rsid w:val="003B0FE8"/>
    <w:rsid w:val="003B1AB5"/>
    <w:rsid w:val="003B1E98"/>
    <w:rsid w:val="003B22D9"/>
    <w:rsid w:val="003B3290"/>
    <w:rsid w:val="003B3755"/>
    <w:rsid w:val="003B4511"/>
    <w:rsid w:val="003B4C27"/>
    <w:rsid w:val="003B6F87"/>
    <w:rsid w:val="003C0054"/>
    <w:rsid w:val="003C0851"/>
    <w:rsid w:val="003C0C0D"/>
    <w:rsid w:val="003C14AB"/>
    <w:rsid w:val="003C1E7C"/>
    <w:rsid w:val="003C4251"/>
    <w:rsid w:val="003C42C6"/>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3FF"/>
    <w:rsid w:val="00405597"/>
    <w:rsid w:val="004056A0"/>
    <w:rsid w:val="00406C2F"/>
    <w:rsid w:val="004071DA"/>
    <w:rsid w:val="00411D17"/>
    <w:rsid w:val="0041210C"/>
    <w:rsid w:val="00414E00"/>
    <w:rsid w:val="00420862"/>
    <w:rsid w:val="00420880"/>
    <w:rsid w:val="00421009"/>
    <w:rsid w:val="004233F9"/>
    <w:rsid w:val="0042372A"/>
    <w:rsid w:val="004259A8"/>
    <w:rsid w:val="00425ACB"/>
    <w:rsid w:val="00425E38"/>
    <w:rsid w:val="00426E6D"/>
    <w:rsid w:val="00427793"/>
    <w:rsid w:val="004277FA"/>
    <w:rsid w:val="00430020"/>
    <w:rsid w:val="00431175"/>
    <w:rsid w:val="004347BF"/>
    <w:rsid w:val="00434EDB"/>
    <w:rsid w:val="00436108"/>
    <w:rsid w:val="004368E1"/>
    <w:rsid w:val="00436A1E"/>
    <w:rsid w:val="00437349"/>
    <w:rsid w:val="00437F68"/>
    <w:rsid w:val="00440010"/>
    <w:rsid w:val="00441561"/>
    <w:rsid w:val="00441691"/>
    <w:rsid w:val="00442203"/>
    <w:rsid w:val="004440D6"/>
    <w:rsid w:val="0044451B"/>
    <w:rsid w:val="00446C23"/>
    <w:rsid w:val="00447598"/>
    <w:rsid w:val="00447F5D"/>
    <w:rsid w:val="00451934"/>
    <w:rsid w:val="004522CD"/>
    <w:rsid w:val="00453DA2"/>
    <w:rsid w:val="00454103"/>
    <w:rsid w:val="004554B3"/>
    <w:rsid w:val="004569C9"/>
    <w:rsid w:val="00457964"/>
    <w:rsid w:val="004643AF"/>
    <w:rsid w:val="00464C62"/>
    <w:rsid w:val="00465A54"/>
    <w:rsid w:val="004677D8"/>
    <w:rsid w:val="00467BDF"/>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448"/>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485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1294"/>
    <w:rsid w:val="005023EE"/>
    <w:rsid w:val="00503CA8"/>
    <w:rsid w:val="005105EC"/>
    <w:rsid w:val="0051137A"/>
    <w:rsid w:val="00511759"/>
    <w:rsid w:val="00511B29"/>
    <w:rsid w:val="00512F35"/>
    <w:rsid w:val="00515F84"/>
    <w:rsid w:val="00516884"/>
    <w:rsid w:val="00516E92"/>
    <w:rsid w:val="0051796C"/>
    <w:rsid w:val="0052149F"/>
    <w:rsid w:val="005234C2"/>
    <w:rsid w:val="00523933"/>
    <w:rsid w:val="00524473"/>
    <w:rsid w:val="00524715"/>
    <w:rsid w:val="005275DB"/>
    <w:rsid w:val="00534655"/>
    <w:rsid w:val="00535823"/>
    <w:rsid w:val="0053654A"/>
    <w:rsid w:val="005379D8"/>
    <w:rsid w:val="00537DFF"/>
    <w:rsid w:val="005437F7"/>
    <w:rsid w:val="0054439D"/>
    <w:rsid w:val="005455D7"/>
    <w:rsid w:val="0054613F"/>
    <w:rsid w:val="00546F02"/>
    <w:rsid w:val="0054726C"/>
    <w:rsid w:val="00547477"/>
    <w:rsid w:val="00550637"/>
    <w:rsid w:val="00550C15"/>
    <w:rsid w:val="00551E54"/>
    <w:rsid w:val="00552A5B"/>
    <w:rsid w:val="00553A9F"/>
    <w:rsid w:val="00553C8F"/>
    <w:rsid w:val="00555666"/>
    <w:rsid w:val="005557AE"/>
    <w:rsid w:val="005563F8"/>
    <w:rsid w:val="0055769A"/>
    <w:rsid w:val="005603D7"/>
    <w:rsid w:val="00560776"/>
    <w:rsid w:val="005651F2"/>
    <w:rsid w:val="00566BF2"/>
    <w:rsid w:val="00566C37"/>
    <w:rsid w:val="00567FBF"/>
    <w:rsid w:val="0057020D"/>
    <w:rsid w:val="005710B2"/>
    <w:rsid w:val="005715A3"/>
    <w:rsid w:val="00574D3F"/>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43F"/>
    <w:rsid w:val="005B5AEB"/>
    <w:rsid w:val="005C08FA"/>
    <w:rsid w:val="005C10F2"/>
    <w:rsid w:val="005C2EF0"/>
    <w:rsid w:val="005C3E17"/>
    <w:rsid w:val="005C41C3"/>
    <w:rsid w:val="005D1258"/>
    <w:rsid w:val="005D3DE5"/>
    <w:rsid w:val="005D691C"/>
    <w:rsid w:val="005D72BC"/>
    <w:rsid w:val="005D7BAC"/>
    <w:rsid w:val="005E0927"/>
    <w:rsid w:val="005E0EB8"/>
    <w:rsid w:val="005E1042"/>
    <w:rsid w:val="005E290B"/>
    <w:rsid w:val="005E61DB"/>
    <w:rsid w:val="005F038E"/>
    <w:rsid w:val="005F28F4"/>
    <w:rsid w:val="005F39AC"/>
    <w:rsid w:val="005F6B77"/>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47350"/>
    <w:rsid w:val="00650EC4"/>
    <w:rsid w:val="00652426"/>
    <w:rsid w:val="0065519A"/>
    <w:rsid w:val="0065717E"/>
    <w:rsid w:val="0065793E"/>
    <w:rsid w:val="006622F0"/>
    <w:rsid w:val="00662776"/>
    <w:rsid w:val="00665609"/>
    <w:rsid w:val="006666FB"/>
    <w:rsid w:val="00666D76"/>
    <w:rsid w:val="0066748C"/>
    <w:rsid w:val="0066780A"/>
    <w:rsid w:val="00667F67"/>
    <w:rsid w:val="006708E4"/>
    <w:rsid w:val="00670BD0"/>
    <w:rsid w:val="00671A82"/>
    <w:rsid w:val="006733AC"/>
    <w:rsid w:val="006738C0"/>
    <w:rsid w:val="006747D0"/>
    <w:rsid w:val="006754F9"/>
    <w:rsid w:val="00676BDE"/>
    <w:rsid w:val="00677EB4"/>
    <w:rsid w:val="00680E92"/>
    <w:rsid w:val="00680F34"/>
    <w:rsid w:val="006815B2"/>
    <w:rsid w:val="00682060"/>
    <w:rsid w:val="006820AD"/>
    <w:rsid w:val="006825D3"/>
    <w:rsid w:val="006826F0"/>
    <w:rsid w:val="00682A5F"/>
    <w:rsid w:val="00682AC8"/>
    <w:rsid w:val="00682B66"/>
    <w:rsid w:val="00682BF1"/>
    <w:rsid w:val="00683B04"/>
    <w:rsid w:val="0068510B"/>
    <w:rsid w:val="00686634"/>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49B4"/>
    <w:rsid w:val="006C5CD3"/>
    <w:rsid w:val="006C5DBB"/>
    <w:rsid w:val="006D1852"/>
    <w:rsid w:val="006D2D0E"/>
    <w:rsid w:val="006D4E10"/>
    <w:rsid w:val="006D539E"/>
    <w:rsid w:val="006D634E"/>
    <w:rsid w:val="006D73C5"/>
    <w:rsid w:val="006D7AEE"/>
    <w:rsid w:val="006D7D2C"/>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24A8"/>
    <w:rsid w:val="00703E8A"/>
    <w:rsid w:val="00706597"/>
    <w:rsid w:val="007068BA"/>
    <w:rsid w:val="00707B59"/>
    <w:rsid w:val="00710A76"/>
    <w:rsid w:val="0071161C"/>
    <w:rsid w:val="00716115"/>
    <w:rsid w:val="00716319"/>
    <w:rsid w:val="00716B69"/>
    <w:rsid w:val="00721582"/>
    <w:rsid w:val="00721914"/>
    <w:rsid w:val="007236E6"/>
    <w:rsid w:val="0072427E"/>
    <w:rsid w:val="00727CE3"/>
    <w:rsid w:val="0073057D"/>
    <w:rsid w:val="00730609"/>
    <w:rsid w:val="00731DA2"/>
    <w:rsid w:val="0073276D"/>
    <w:rsid w:val="00734103"/>
    <w:rsid w:val="00734122"/>
    <w:rsid w:val="007352A4"/>
    <w:rsid w:val="00736FE3"/>
    <w:rsid w:val="00737F15"/>
    <w:rsid w:val="0074082A"/>
    <w:rsid w:val="007423F5"/>
    <w:rsid w:val="00742877"/>
    <w:rsid w:val="0074393D"/>
    <w:rsid w:val="00743991"/>
    <w:rsid w:val="00744D8F"/>
    <w:rsid w:val="00746AD4"/>
    <w:rsid w:val="007506A8"/>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92E9A"/>
    <w:rsid w:val="007A009E"/>
    <w:rsid w:val="007A01F7"/>
    <w:rsid w:val="007A0F8C"/>
    <w:rsid w:val="007A13C0"/>
    <w:rsid w:val="007A1B4D"/>
    <w:rsid w:val="007A4490"/>
    <w:rsid w:val="007A4EE5"/>
    <w:rsid w:val="007A4F56"/>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A19"/>
    <w:rsid w:val="007E193D"/>
    <w:rsid w:val="007E31A6"/>
    <w:rsid w:val="007E37B8"/>
    <w:rsid w:val="007E3C1A"/>
    <w:rsid w:val="007E4F90"/>
    <w:rsid w:val="007F00ED"/>
    <w:rsid w:val="007F2474"/>
    <w:rsid w:val="007F5924"/>
    <w:rsid w:val="007F5FAD"/>
    <w:rsid w:val="007F620C"/>
    <w:rsid w:val="008004E8"/>
    <w:rsid w:val="00801B05"/>
    <w:rsid w:val="008025D3"/>
    <w:rsid w:val="00807A32"/>
    <w:rsid w:val="00807BB1"/>
    <w:rsid w:val="00807BE0"/>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4B64"/>
    <w:rsid w:val="008265AD"/>
    <w:rsid w:val="008266FA"/>
    <w:rsid w:val="00830484"/>
    <w:rsid w:val="00830A98"/>
    <w:rsid w:val="00831330"/>
    <w:rsid w:val="00831AF4"/>
    <w:rsid w:val="00835E74"/>
    <w:rsid w:val="008373DB"/>
    <w:rsid w:val="00840B26"/>
    <w:rsid w:val="00840D1C"/>
    <w:rsid w:val="00841CA6"/>
    <w:rsid w:val="00841CDC"/>
    <w:rsid w:val="00842B00"/>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31A5"/>
    <w:rsid w:val="008738EB"/>
    <w:rsid w:val="00874451"/>
    <w:rsid w:val="00874602"/>
    <w:rsid w:val="00875714"/>
    <w:rsid w:val="008761E9"/>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7F3"/>
    <w:rsid w:val="008E5891"/>
    <w:rsid w:val="008E5F09"/>
    <w:rsid w:val="008F1A08"/>
    <w:rsid w:val="008F1DDA"/>
    <w:rsid w:val="008F2108"/>
    <w:rsid w:val="008F39B8"/>
    <w:rsid w:val="008F6B8B"/>
    <w:rsid w:val="008F6DD0"/>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121"/>
    <w:rsid w:val="0092521F"/>
    <w:rsid w:val="0092555F"/>
    <w:rsid w:val="00926E97"/>
    <w:rsid w:val="0092700A"/>
    <w:rsid w:val="00927144"/>
    <w:rsid w:val="009306D2"/>
    <w:rsid w:val="00931F6A"/>
    <w:rsid w:val="00932A46"/>
    <w:rsid w:val="00933823"/>
    <w:rsid w:val="00933D99"/>
    <w:rsid w:val="009346ED"/>
    <w:rsid w:val="00935053"/>
    <w:rsid w:val="0093520D"/>
    <w:rsid w:val="0093790A"/>
    <w:rsid w:val="009417EE"/>
    <w:rsid w:val="00945A9B"/>
    <w:rsid w:val="0094798D"/>
    <w:rsid w:val="00951836"/>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3183"/>
    <w:rsid w:val="009844F8"/>
    <w:rsid w:val="0098675D"/>
    <w:rsid w:val="0098693B"/>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2F"/>
    <w:rsid w:val="009A6CC8"/>
    <w:rsid w:val="009A7416"/>
    <w:rsid w:val="009A745B"/>
    <w:rsid w:val="009B4CC7"/>
    <w:rsid w:val="009B520F"/>
    <w:rsid w:val="009B6715"/>
    <w:rsid w:val="009B6998"/>
    <w:rsid w:val="009C0622"/>
    <w:rsid w:val="009C17E0"/>
    <w:rsid w:val="009C21A8"/>
    <w:rsid w:val="009C4C2C"/>
    <w:rsid w:val="009C58FC"/>
    <w:rsid w:val="009C65D6"/>
    <w:rsid w:val="009D004A"/>
    <w:rsid w:val="009D0197"/>
    <w:rsid w:val="009D19AE"/>
    <w:rsid w:val="009D1FA3"/>
    <w:rsid w:val="009D2805"/>
    <w:rsid w:val="009D3609"/>
    <w:rsid w:val="009D7994"/>
    <w:rsid w:val="009E1712"/>
    <w:rsid w:val="009E3963"/>
    <w:rsid w:val="009E46B1"/>
    <w:rsid w:val="009E5A58"/>
    <w:rsid w:val="009E743C"/>
    <w:rsid w:val="009E7AD9"/>
    <w:rsid w:val="009F1FFE"/>
    <w:rsid w:val="009F31B2"/>
    <w:rsid w:val="009F3CF7"/>
    <w:rsid w:val="009F60DF"/>
    <w:rsid w:val="00A0190F"/>
    <w:rsid w:val="00A030EA"/>
    <w:rsid w:val="00A04C2D"/>
    <w:rsid w:val="00A04DCF"/>
    <w:rsid w:val="00A066BF"/>
    <w:rsid w:val="00A075EF"/>
    <w:rsid w:val="00A0776C"/>
    <w:rsid w:val="00A100BF"/>
    <w:rsid w:val="00A10806"/>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8DA"/>
    <w:rsid w:val="00A46C1F"/>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6682"/>
    <w:rsid w:val="00A77774"/>
    <w:rsid w:val="00A80B2E"/>
    <w:rsid w:val="00A8489E"/>
    <w:rsid w:val="00A85309"/>
    <w:rsid w:val="00A858C3"/>
    <w:rsid w:val="00A85B90"/>
    <w:rsid w:val="00A87F68"/>
    <w:rsid w:val="00A93D75"/>
    <w:rsid w:val="00A93F81"/>
    <w:rsid w:val="00A94714"/>
    <w:rsid w:val="00A94B75"/>
    <w:rsid w:val="00A94EC9"/>
    <w:rsid w:val="00A97321"/>
    <w:rsid w:val="00A978E5"/>
    <w:rsid w:val="00A97EBF"/>
    <w:rsid w:val="00AA04F9"/>
    <w:rsid w:val="00AA0889"/>
    <w:rsid w:val="00AA13B3"/>
    <w:rsid w:val="00AA23BA"/>
    <w:rsid w:val="00AA2E6B"/>
    <w:rsid w:val="00AA4870"/>
    <w:rsid w:val="00AA4A6D"/>
    <w:rsid w:val="00AA7139"/>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C7611"/>
    <w:rsid w:val="00AD0234"/>
    <w:rsid w:val="00AD192B"/>
    <w:rsid w:val="00AD3550"/>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3EB6"/>
    <w:rsid w:val="00AF581C"/>
    <w:rsid w:val="00AF5C27"/>
    <w:rsid w:val="00AF613D"/>
    <w:rsid w:val="00AF6A7E"/>
    <w:rsid w:val="00AF70D1"/>
    <w:rsid w:val="00AF7313"/>
    <w:rsid w:val="00B01D46"/>
    <w:rsid w:val="00B03F3C"/>
    <w:rsid w:val="00B04E09"/>
    <w:rsid w:val="00B05431"/>
    <w:rsid w:val="00B06E7A"/>
    <w:rsid w:val="00B072E7"/>
    <w:rsid w:val="00B11BD2"/>
    <w:rsid w:val="00B11E8E"/>
    <w:rsid w:val="00B1216D"/>
    <w:rsid w:val="00B154C8"/>
    <w:rsid w:val="00B1738C"/>
    <w:rsid w:val="00B21AC2"/>
    <w:rsid w:val="00B21BC8"/>
    <w:rsid w:val="00B21BE0"/>
    <w:rsid w:val="00B21D57"/>
    <w:rsid w:val="00B22944"/>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013"/>
    <w:rsid w:val="00B874F9"/>
    <w:rsid w:val="00B87988"/>
    <w:rsid w:val="00B87B37"/>
    <w:rsid w:val="00B90574"/>
    <w:rsid w:val="00B90ABB"/>
    <w:rsid w:val="00B90CBD"/>
    <w:rsid w:val="00B92E98"/>
    <w:rsid w:val="00B9528F"/>
    <w:rsid w:val="00B9529C"/>
    <w:rsid w:val="00B9543F"/>
    <w:rsid w:val="00B9553B"/>
    <w:rsid w:val="00BA3397"/>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423D"/>
    <w:rsid w:val="00BF5678"/>
    <w:rsid w:val="00BF6518"/>
    <w:rsid w:val="00BF7FC6"/>
    <w:rsid w:val="00C01DA2"/>
    <w:rsid w:val="00C020F9"/>
    <w:rsid w:val="00C0383A"/>
    <w:rsid w:val="00C03FE1"/>
    <w:rsid w:val="00C048B1"/>
    <w:rsid w:val="00C0539B"/>
    <w:rsid w:val="00C056EE"/>
    <w:rsid w:val="00C05C8D"/>
    <w:rsid w:val="00C05CB7"/>
    <w:rsid w:val="00C07B14"/>
    <w:rsid w:val="00C07DC2"/>
    <w:rsid w:val="00C1063E"/>
    <w:rsid w:val="00C10713"/>
    <w:rsid w:val="00C117A2"/>
    <w:rsid w:val="00C131FB"/>
    <w:rsid w:val="00C13312"/>
    <w:rsid w:val="00C15341"/>
    <w:rsid w:val="00C20E1F"/>
    <w:rsid w:val="00C21258"/>
    <w:rsid w:val="00C215E3"/>
    <w:rsid w:val="00C234E3"/>
    <w:rsid w:val="00C37429"/>
    <w:rsid w:val="00C411E5"/>
    <w:rsid w:val="00C417AD"/>
    <w:rsid w:val="00C452B7"/>
    <w:rsid w:val="00C45A12"/>
    <w:rsid w:val="00C46DC8"/>
    <w:rsid w:val="00C500B1"/>
    <w:rsid w:val="00C500DE"/>
    <w:rsid w:val="00C5088A"/>
    <w:rsid w:val="00C51B02"/>
    <w:rsid w:val="00C51F56"/>
    <w:rsid w:val="00C53BA5"/>
    <w:rsid w:val="00C53E7F"/>
    <w:rsid w:val="00C53F5E"/>
    <w:rsid w:val="00C543EA"/>
    <w:rsid w:val="00C56C4B"/>
    <w:rsid w:val="00C577CE"/>
    <w:rsid w:val="00C60BB5"/>
    <w:rsid w:val="00C62FBC"/>
    <w:rsid w:val="00C630C0"/>
    <w:rsid w:val="00C656BB"/>
    <w:rsid w:val="00C65FAA"/>
    <w:rsid w:val="00C6749A"/>
    <w:rsid w:val="00C718BC"/>
    <w:rsid w:val="00C7317A"/>
    <w:rsid w:val="00C74A60"/>
    <w:rsid w:val="00C76857"/>
    <w:rsid w:val="00C77B4B"/>
    <w:rsid w:val="00C77FD7"/>
    <w:rsid w:val="00C81ECD"/>
    <w:rsid w:val="00C8209E"/>
    <w:rsid w:val="00C84EF2"/>
    <w:rsid w:val="00C8530A"/>
    <w:rsid w:val="00C8595C"/>
    <w:rsid w:val="00C87CFF"/>
    <w:rsid w:val="00C91EEF"/>
    <w:rsid w:val="00C92B04"/>
    <w:rsid w:val="00C93302"/>
    <w:rsid w:val="00C96476"/>
    <w:rsid w:val="00C966E5"/>
    <w:rsid w:val="00C9746E"/>
    <w:rsid w:val="00C97D01"/>
    <w:rsid w:val="00CA07E5"/>
    <w:rsid w:val="00CA0ADA"/>
    <w:rsid w:val="00CA124D"/>
    <w:rsid w:val="00CA2F94"/>
    <w:rsid w:val="00CA5643"/>
    <w:rsid w:val="00CA5CD4"/>
    <w:rsid w:val="00CA5E63"/>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0DF3"/>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4FB9"/>
    <w:rsid w:val="00CF5D36"/>
    <w:rsid w:val="00CF7ADB"/>
    <w:rsid w:val="00D0033D"/>
    <w:rsid w:val="00D006B0"/>
    <w:rsid w:val="00D00BE4"/>
    <w:rsid w:val="00D02560"/>
    <w:rsid w:val="00D04121"/>
    <w:rsid w:val="00D051E7"/>
    <w:rsid w:val="00D05ACF"/>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210"/>
    <w:rsid w:val="00D50683"/>
    <w:rsid w:val="00D5094C"/>
    <w:rsid w:val="00D519FF"/>
    <w:rsid w:val="00D5274E"/>
    <w:rsid w:val="00D53693"/>
    <w:rsid w:val="00D537A9"/>
    <w:rsid w:val="00D547AC"/>
    <w:rsid w:val="00D5490A"/>
    <w:rsid w:val="00D55357"/>
    <w:rsid w:val="00D557A0"/>
    <w:rsid w:val="00D55FC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3EA5"/>
    <w:rsid w:val="00DA4B47"/>
    <w:rsid w:val="00DA4D00"/>
    <w:rsid w:val="00DA5FB5"/>
    <w:rsid w:val="00DB307A"/>
    <w:rsid w:val="00DB3EBF"/>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14C"/>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3603"/>
    <w:rsid w:val="00E25815"/>
    <w:rsid w:val="00E267B1"/>
    <w:rsid w:val="00E26F1D"/>
    <w:rsid w:val="00E3140F"/>
    <w:rsid w:val="00E31A51"/>
    <w:rsid w:val="00E31F6C"/>
    <w:rsid w:val="00E3275C"/>
    <w:rsid w:val="00E33021"/>
    <w:rsid w:val="00E33342"/>
    <w:rsid w:val="00E3344C"/>
    <w:rsid w:val="00E339BB"/>
    <w:rsid w:val="00E358F4"/>
    <w:rsid w:val="00E35CC1"/>
    <w:rsid w:val="00E40738"/>
    <w:rsid w:val="00E42B06"/>
    <w:rsid w:val="00E43C88"/>
    <w:rsid w:val="00E45060"/>
    <w:rsid w:val="00E47625"/>
    <w:rsid w:val="00E53325"/>
    <w:rsid w:val="00E535E4"/>
    <w:rsid w:val="00E543F8"/>
    <w:rsid w:val="00E55DD8"/>
    <w:rsid w:val="00E56F4D"/>
    <w:rsid w:val="00E57F4D"/>
    <w:rsid w:val="00E57FDC"/>
    <w:rsid w:val="00E600D2"/>
    <w:rsid w:val="00E60ED6"/>
    <w:rsid w:val="00E611C6"/>
    <w:rsid w:val="00E62037"/>
    <w:rsid w:val="00E64DD1"/>
    <w:rsid w:val="00E65773"/>
    <w:rsid w:val="00E657AF"/>
    <w:rsid w:val="00E65A5A"/>
    <w:rsid w:val="00E65DE3"/>
    <w:rsid w:val="00E6719F"/>
    <w:rsid w:val="00E726D8"/>
    <w:rsid w:val="00E72946"/>
    <w:rsid w:val="00E72C64"/>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21"/>
    <w:rsid w:val="00ED2FB9"/>
    <w:rsid w:val="00ED40AD"/>
    <w:rsid w:val="00ED4C47"/>
    <w:rsid w:val="00ED4D48"/>
    <w:rsid w:val="00ED70B4"/>
    <w:rsid w:val="00ED7226"/>
    <w:rsid w:val="00EE0F98"/>
    <w:rsid w:val="00EE2A0A"/>
    <w:rsid w:val="00EE2DA4"/>
    <w:rsid w:val="00EE4005"/>
    <w:rsid w:val="00EE4C19"/>
    <w:rsid w:val="00EE4D7D"/>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45E3"/>
    <w:rsid w:val="00F05511"/>
    <w:rsid w:val="00F06681"/>
    <w:rsid w:val="00F06C75"/>
    <w:rsid w:val="00F0711F"/>
    <w:rsid w:val="00F0715F"/>
    <w:rsid w:val="00F071CD"/>
    <w:rsid w:val="00F10C7F"/>
    <w:rsid w:val="00F11612"/>
    <w:rsid w:val="00F124CD"/>
    <w:rsid w:val="00F127FE"/>
    <w:rsid w:val="00F1285B"/>
    <w:rsid w:val="00F14DB7"/>
    <w:rsid w:val="00F14F6E"/>
    <w:rsid w:val="00F20994"/>
    <w:rsid w:val="00F2287E"/>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18F2"/>
    <w:rsid w:val="00F51C8B"/>
    <w:rsid w:val="00F542F3"/>
    <w:rsid w:val="00F54EDC"/>
    <w:rsid w:val="00F60526"/>
    <w:rsid w:val="00F6130E"/>
    <w:rsid w:val="00F61EE2"/>
    <w:rsid w:val="00F625E4"/>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B36"/>
    <w:rsid w:val="00FB2D03"/>
    <w:rsid w:val="00FB44B4"/>
    <w:rsid w:val="00FB44BC"/>
    <w:rsid w:val="00FB4F69"/>
    <w:rsid w:val="00FB5BC6"/>
    <w:rsid w:val="00FB73F4"/>
    <w:rsid w:val="00FB784C"/>
    <w:rsid w:val="00FC271A"/>
    <w:rsid w:val="00FC3252"/>
    <w:rsid w:val="00FC4899"/>
    <w:rsid w:val="00FC4A60"/>
    <w:rsid w:val="00FC532D"/>
    <w:rsid w:val="00FC61F0"/>
    <w:rsid w:val="00FC7074"/>
    <w:rsid w:val="00FD0FA7"/>
    <w:rsid w:val="00FD1710"/>
    <w:rsid w:val="00FD3C9B"/>
    <w:rsid w:val="00FD3D7B"/>
    <w:rsid w:val="00FD4076"/>
    <w:rsid w:val="00FE0B80"/>
    <w:rsid w:val="00FE21DA"/>
    <w:rsid w:val="00FE2D09"/>
    <w:rsid w:val="00FE2E38"/>
    <w:rsid w:val="00FE37C0"/>
    <w:rsid w:val="00FE3E44"/>
    <w:rsid w:val="00FE4E97"/>
    <w:rsid w:val="00FE51E3"/>
    <w:rsid w:val="00FE5708"/>
    <w:rsid w:val="00FE5D7D"/>
    <w:rsid w:val="00FF1AE9"/>
    <w:rsid w:val="00FF1DE6"/>
    <w:rsid w:val="00FF44B7"/>
    <w:rsid w:val="00FF4EFD"/>
    <w:rsid w:val="00FF5CD6"/>
    <w:rsid w:val="00FF5E86"/>
    <w:rsid w:val="010640CC"/>
    <w:rsid w:val="01064A08"/>
    <w:rsid w:val="011562D2"/>
    <w:rsid w:val="01A56261"/>
    <w:rsid w:val="01CC133A"/>
    <w:rsid w:val="01D20A5A"/>
    <w:rsid w:val="01FF1E15"/>
    <w:rsid w:val="020058B7"/>
    <w:rsid w:val="02017907"/>
    <w:rsid w:val="02462227"/>
    <w:rsid w:val="025E68E4"/>
    <w:rsid w:val="026C4B3E"/>
    <w:rsid w:val="02790832"/>
    <w:rsid w:val="02881DEE"/>
    <w:rsid w:val="028D4D25"/>
    <w:rsid w:val="029B0168"/>
    <w:rsid w:val="02D40C1B"/>
    <w:rsid w:val="02D74ECB"/>
    <w:rsid w:val="030D4835"/>
    <w:rsid w:val="03141EB6"/>
    <w:rsid w:val="031D5E5C"/>
    <w:rsid w:val="03487621"/>
    <w:rsid w:val="03510C26"/>
    <w:rsid w:val="03667C72"/>
    <w:rsid w:val="036D1000"/>
    <w:rsid w:val="038360B5"/>
    <w:rsid w:val="03B548D0"/>
    <w:rsid w:val="03BA2ABC"/>
    <w:rsid w:val="03F00227"/>
    <w:rsid w:val="03F00B9A"/>
    <w:rsid w:val="044A0703"/>
    <w:rsid w:val="047F723D"/>
    <w:rsid w:val="048001EE"/>
    <w:rsid w:val="04A13D44"/>
    <w:rsid w:val="04E067F8"/>
    <w:rsid w:val="04F327E0"/>
    <w:rsid w:val="050D4849"/>
    <w:rsid w:val="053A13FE"/>
    <w:rsid w:val="05616943"/>
    <w:rsid w:val="05746676"/>
    <w:rsid w:val="05983BBD"/>
    <w:rsid w:val="05A472D3"/>
    <w:rsid w:val="05A655BE"/>
    <w:rsid w:val="05AA1C3F"/>
    <w:rsid w:val="05BE3726"/>
    <w:rsid w:val="0605043B"/>
    <w:rsid w:val="06344057"/>
    <w:rsid w:val="064C16BC"/>
    <w:rsid w:val="06512914"/>
    <w:rsid w:val="06520AA9"/>
    <w:rsid w:val="067B3A34"/>
    <w:rsid w:val="069A766F"/>
    <w:rsid w:val="06BB0515"/>
    <w:rsid w:val="06DC117D"/>
    <w:rsid w:val="06E8731C"/>
    <w:rsid w:val="073133BC"/>
    <w:rsid w:val="07C801C9"/>
    <w:rsid w:val="07C8446C"/>
    <w:rsid w:val="0819710D"/>
    <w:rsid w:val="08494592"/>
    <w:rsid w:val="087119E8"/>
    <w:rsid w:val="08726451"/>
    <w:rsid w:val="0874698D"/>
    <w:rsid w:val="08891D2A"/>
    <w:rsid w:val="088A2D1F"/>
    <w:rsid w:val="08955D0F"/>
    <w:rsid w:val="089909A9"/>
    <w:rsid w:val="089E625C"/>
    <w:rsid w:val="08A234FA"/>
    <w:rsid w:val="08C03F2B"/>
    <w:rsid w:val="08C74B52"/>
    <w:rsid w:val="08C93A4B"/>
    <w:rsid w:val="08E92C08"/>
    <w:rsid w:val="09152080"/>
    <w:rsid w:val="092616BA"/>
    <w:rsid w:val="09263687"/>
    <w:rsid w:val="092B50CE"/>
    <w:rsid w:val="095A4A34"/>
    <w:rsid w:val="097721BF"/>
    <w:rsid w:val="09AE1AAC"/>
    <w:rsid w:val="09D55DD7"/>
    <w:rsid w:val="09F91840"/>
    <w:rsid w:val="0A205BC5"/>
    <w:rsid w:val="0A3B59B5"/>
    <w:rsid w:val="0A871019"/>
    <w:rsid w:val="0AA61249"/>
    <w:rsid w:val="0AB6328D"/>
    <w:rsid w:val="0AB8449F"/>
    <w:rsid w:val="0AD73BC8"/>
    <w:rsid w:val="0ADA6725"/>
    <w:rsid w:val="0ADA7890"/>
    <w:rsid w:val="0B821EF4"/>
    <w:rsid w:val="0BAA5D2C"/>
    <w:rsid w:val="0BDA2FAB"/>
    <w:rsid w:val="0C1F363C"/>
    <w:rsid w:val="0C237B31"/>
    <w:rsid w:val="0C5D60B6"/>
    <w:rsid w:val="0CBD0B0F"/>
    <w:rsid w:val="0CED4554"/>
    <w:rsid w:val="0D1904D8"/>
    <w:rsid w:val="0D49017D"/>
    <w:rsid w:val="0D52055C"/>
    <w:rsid w:val="0D5E31E7"/>
    <w:rsid w:val="0D6214AA"/>
    <w:rsid w:val="0D823F06"/>
    <w:rsid w:val="0E2502F7"/>
    <w:rsid w:val="0E326E1B"/>
    <w:rsid w:val="0E4A08BC"/>
    <w:rsid w:val="0E5507A6"/>
    <w:rsid w:val="0E551AE8"/>
    <w:rsid w:val="0E5E2859"/>
    <w:rsid w:val="0E637657"/>
    <w:rsid w:val="0E6970BE"/>
    <w:rsid w:val="0EF13E70"/>
    <w:rsid w:val="0EFA29A4"/>
    <w:rsid w:val="0F3B0205"/>
    <w:rsid w:val="0F4159AC"/>
    <w:rsid w:val="0F496CEE"/>
    <w:rsid w:val="0F4C41C0"/>
    <w:rsid w:val="0F541A8E"/>
    <w:rsid w:val="0F874418"/>
    <w:rsid w:val="0F95760D"/>
    <w:rsid w:val="0FEE5277"/>
    <w:rsid w:val="0FF74205"/>
    <w:rsid w:val="10511573"/>
    <w:rsid w:val="108638AA"/>
    <w:rsid w:val="10C4379C"/>
    <w:rsid w:val="10CF134A"/>
    <w:rsid w:val="10D604F0"/>
    <w:rsid w:val="10DC34B5"/>
    <w:rsid w:val="10E8616A"/>
    <w:rsid w:val="10EB680E"/>
    <w:rsid w:val="113B7EFA"/>
    <w:rsid w:val="114B2D1A"/>
    <w:rsid w:val="117B38FA"/>
    <w:rsid w:val="11EC7CB7"/>
    <w:rsid w:val="1219420C"/>
    <w:rsid w:val="121E62E8"/>
    <w:rsid w:val="12387A9A"/>
    <w:rsid w:val="1240001B"/>
    <w:rsid w:val="126F1CAA"/>
    <w:rsid w:val="128536A4"/>
    <w:rsid w:val="128E2F4C"/>
    <w:rsid w:val="129111D6"/>
    <w:rsid w:val="1291611B"/>
    <w:rsid w:val="129A3494"/>
    <w:rsid w:val="12A84FAA"/>
    <w:rsid w:val="12AF0CEE"/>
    <w:rsid w:val="12F57F45"/>
    <w:rsid w:val="12FC5EFD"/>
    <w:rsid w:val="12FD3E9B"/>
    <w:rsid w:val="12FE76EB"/>
    <w:rsid w:val="13031039"/>
    <w:rsid w:val="13446F00"/>
    <w:rsid w:val="134A310C"/>
    <w:rsid w:val="137F3BE3"/>
    <w:rsid w:val="13833F28"/>
    <w:rsid w:val="139E41CE"/>
    <w:rsid w:val="13C26E98"/>
    <w:rsid w:val="13C70A93"/>
    <w:rsid w:val="13F111A4"/>
    <w:rsid w:val="13F310AE"/>
    <w:rsid w:val="141C2F82"/>
    <w:rsid w:val="143376FC"/>
    <w:rsid w:val="14432F26"/>
    <w:rsid w:val="146D1135"/>
    <w:rsid w:val="14773A8D"/>
    <w:rsid w:val="14A8633C"/>
    <w:rsid w:val="14B22D17"/>
    <w:rsid w:val="14B56A45"/>
    <w:rsid w:val="14B66BA5"/>
    <w:rsid w:val="14BC746F"/>
    <w:rsid w:val="14ED3D4F"/>
    <w:rsid w:val="154C263F"/>
    <w:rsid w:val="15744470"/>
    <w:rsid w:val="15861F52"/>
    <w:rsid w:val="15CA2D3E"/>
    <w:rsid w:val="16082E04"/>
    <w:rsid w:val="161812A0"/>
    <w:rsid w:val="162458BE"/>
    <w:rsid w:val="16500A3A"/>
    <w:rsid w:val="165A5414"/>
    <w:rsid w:val="16685D83"/>
    <w:rsid w:val="167C4F45"/>
    <w:rsid w:val="168626AD"/>
    <w:rsid w:val="168B3A44"/>
    <w:rsid w:val="16A85011"/>
    <w:rsid w:val="16B234A2"/>
    <w:rsid w:val="16B34A81"/>
    <w:rsid w:val="16BB7B7E"/>
    <w:rsid w:val="16D73035"/>
    <w:rsid w:val="17014A1A"/>
    <w:rsid w:val="1702600A"/>
    <w:rsid w:val="17345C65"/>
    <w:rsid w:val="173D5438"/>
    <w:rsid w:val="1746570F"/>
    <w:rsid w:val="17474C88"/>
    <w:rsid w:val="174A03C5"/>
    <w:rsid w:val="175956CC"/>
    <w:rsid w:val="175D1F31"/>
    <w:rsid w:val="176471DF"/>
    <w:rsid w:val="17681D7E"/>
    <w:rsid w:val="17BF5E77"/>
    <w:rsid w:val="17C920C7"/>
    <w:rsid w:val="17E51656"/>
    <w:rsid w:val="180939C1"/>
    <w:rsid w:val="18143D41"/>
    <w:rsid w:val="18245CDA"/>
    <w:rsid w:val="18561C0B"/>
    <w:rsid w:val="185C0364"/>
    <w:rsid w:val="187244F7"/>
    <w:rsid w:val="18743B51"/>
    <w:rsid w:val="18753B72"/>
    <w:rsid w:val="18C1177B"/>
    <w:rsid w:val="18DA6CE0"/>
    <w:rsid w:val="1902658B"/>
    <w:rsid w:val="19104318"/>
    <w:rsid w:val="19214D23"/>
    <w:rsid w:val="19266B69"/>
    <w:rsid w:val="19597230"/>
    <w:rsid w:val="19816DB3"/>
    <w:rsid w:val="19BD63E6"/>
    <w:rsid w:val="19C25144"/>
    <w:rsid w:val="19CD3751"/>
    <w:rsid w:val="19DE3255"/>
    <w:rsid w:val="19E258B9"/>
    <w:rsid w:val="19FC677D"/>
    <w:rsid w:val="1A3B0EDC"/>
    <w:rsid w:val="1A514D80"/>
    <w:rsid w:val="1A933C3F"/>
    <w:rsid w:val="1AB570BD"/>
    <w:rsid w:val="1AF86984"/>
    <w:rsid w:val="1B1D3041"/>
    <w:rsid w:val="1B373F76"/>
    <w:rsid w:val="1B520D76"/>
    <w:rsid w:val="1B5E5622"/>
    <w:rsid w:val="1B5F25A5"/>
    <w:rsid w:val="1B5F700C"/>
    <w:rsid w:val="1B847AE3"/>
    <w:rsid w:val="1BB27280"/>
    <w:rsid w:val="1BC021BE"/>
    <w:rsid w:val="1BD313BA"/>
    <w:rsid w:val="1BE75582"/>
    <w:rsid w:val="1BF41B7A"/>
    <w:rsid w:val="1C0626C3"/>
    <w:rsid w:val="1C077DEC"/>
    <w:rsid w:val="1C406E5A"/>
    <w:rsid w:val="1C7E1112"/>
    <w:rsid w:val="1C7E791F"/>
    <w:rsid w:val="1CB56D18"/>
    <w:rsid w:val="1D097B94"/>
    <w:rsid w:val="1D0C4F8F"/>
    <w:rsid w:val="1D103DCB"/>
    <w:rsid w:val="1D28001A"/>
    <w:rsid w:val="1D2A4CDD"/>
    <w:rsid w:val="1D3910A2"/>
    <w:rsid w:val="1D5105C1"/>
    <w:rsid w:val="1D6D1ED1"/>
    <w:rsid w:val="1DA3071C"/>
    <w:rsid w:val="1DF45D5F"/>
    <w:rsid w:val="1E224654"/>
    <w:rsid w:val="1E253B38"/>
    <w:rsid w:val="1E314200"/>
    <w:rsid w:val="1E6627AD"/>
    <w:rsid w:val="1E6B715D"/>
    <w:rsid w:val="1E6E7EF3"/>
    <w:rsid w:val="1E71154D"/>
    <w:rsid w:val="1EA062D6"/>
    <w:rsid w:val="1ED514ED"/>
    <w:rsid w:val="1ED55F80"/>
    <w:rsid w:val="1ED800D2"/>
    <w:rsid w:val="1EF5217E"/>
    <w:rsid w:val="1F200112"/>
    <w:rsid w:val="1F217255"/>
    <w:rsid w:val="1F4E6D6D"/>
    <w:rsid w:val="1F92653C"/>
    <w:rsid w:val="1F9E49AA"/>
    <w:rsid w:val="1FA00144"/>
    <w:rsid w:val="1FCB4355"/>
    <w:rsid w:val="1FD9384E"/>
    <w:rsid w:val="202B4E25"/>
    <w:rsid w:val="204033C3"/>
    <w:rsid w:val="208421EA"/>
    <w:rsid w:val="20BB2DEE"/>
    <w:rsid w:val="20C55B80"/>
    <w:rsid w:val="20F052F3"/>
    <w:rsid w:val="20F239CD"/>
    <w:rsid w:val="20FD2D5C"/>
    <w:rsid w:val="21020B82"/>
    <w:rsid w:val="210309DF"/>
    <w:rsid w:val="21124297"/>
    <w:rsid w:val="21B17FE2"/>
    <w:rsid w:val="21C83B7A"/>
    <w:rsid w:val="21DA0A4C"/>
    <w:rsid w:val="21FA6DF4"/>
    <w:rsid w:val="22057CDF"/>
    <w:rsid w:val="225C32EA"/>
    <w:rsid w:val="22623EB1"/>
    <w:rsid w:val="22715FC0"/>
    <w:rsid w:val="22A014B6"/>
    <w:rsid w:val="22B8599C"/>
    <w:rsid w:val="22F83B14"/>
    <w:rsid w:val="2305495A"/>
    <w:rsid w:val="233F1E96"/>
    <w:rsid w:val="23821D2B"/>
    <w:rsid w:val="238B30B1"/>
    <w:rsid w:val="238E494F"/>
    <w:rsid w:val="23914460"/>
    <w:rsid w:val="23BC0C14"/>
    <w:rsid w:val="23D93719"/>
    <w:rsid w:val="23EA6F56"/>
    <w:rsid w:val="241E61CB"/>
    <w:rsid w:val="24417C14"/>
    <w:rsid w:val="247810A0"/>
    <w:rsid w:val="24B651D3"/>
    <w:rsid w:val="24C96E6B"/>
    <w:rsid w:val="24DF64A5"/>
    <w:rsid w:val="24E9591D"/>
    <w:rsid w:val="25007ACF"/>
    <w:rsid w:val="25024C15"/>
    <w:rsid w:val="25087AFC"/>
    <w:rsid w:val="253D2B5C"/>
    <w:rsid w:val="2545054F"/>
    <w:rsid w:val="254C5B3F"/>
    <w:rsid w:val="25784B2E"/>
    <w:rsid w:val="25855348"/>
    <w:rsid w:val="25DA088A"/>
    <w:rsid w:val="25FE211B"/>
    <w:rsid w:val="269C05C1"/>
    <w:rsid w:val="26E543C0"/>
    <w:rsid w:val="26EC19A0"/>
    <w:rsid w:val="270B5D7B"/>
    <w:rsid w:val="274A6DDF"/>
    <w:rsid w:val="278E4360"/>
    <w:rsid w:val="27B760B3"/>
    <w:rsid w:val="27C77D4E"/>
    <w:rsid w:val="27EE154C"/>
    <w:rsid w:val="281B76B8"/>
    <w:rsid w:val="283A5B04"/>
    <w:rsid w:val="28447CD2"/>
    <w:rsid w:val="284F0E01"/>
    <w:rsid w:val="288A5A69"/>
    <w:rsid w:val="28CD0060"/>
    <w:rsid w:val="28E76707"/>
    <w:rsid w:val="28F5473D"/>
    <w:rsid w:val="29375F39"/>
    <w:rsid w:val="296543A4"/>
    <w:rsid w:val="29763C45"/>
    <w:rsid w:val="298062FF"/>
    <w:rsid w:val="29AF3F5E"/>
    <w:rsid w:val="29BF3AB4"/>
    <w:rsid w:val="29C72969"/>
    <w:rsid w:val="29DB108D"/>
    <w:rsid w:val="29F20C57"/>
    <w:rsid w:val="2A005E7B"/>
    <w:rsid w:val="2A320DD4"/>
    <w:rsid w:val="2A3E7CA9"/>
    <w:rsid w:val="2A835B6A"/>
    <w:rsid w:val="2A8B79CE"/>
    <w:rsid w:val="2AB94FB3"/>
    <w:rsid w:val="2AE37648"/>
    <w:rsid w:val="2AF24C18"/>
    <w:rsid w:val="2AF346E9"/>
    <w:rsid w:val="2B1971F4"/>
    <w:rsid w:val="2B2636BF"/>
    <w:rsid w:val="2B270026"/>
    <w:rsid w:val="2B3040D5"/>
    <w:rsid w:val="2B502629"/>
    <w:rsid w:val="2BBE1B4A"/>
    <w:rsid w:val="2BD36A43"/>
    <w:rsid w:val="2BD8765C"/>
    <w:rsid w:val="2BFD08C4"/>
    <w:rsid w:val="2C066D52"/>
    <w:rsid w:val="2C324A12"/>
    <w:rsid w:val="2C464864"/>
    <w:rsid w:val="2C5F157F"/>
    <w:rsid w:val="2C7D06F2"/>
    <w:rsid w:val="2C885601"/>
    <w:rsid w:val="2C894394"/>
    <w:rsid w:val="2C90417F"/>
    <w:rsid w:val="2CE83322"/>
    <w:rsid w:val="2CF92C0E"/>
    <w:rsid w:val="2D7D7F0E"/>
    <w:rsid w:val="2D816708"/>
    <w:rsid w:val="2D824C80"/>
    <w:rsid w:val="2D8A7365"/>
    <w:rsid w:val="2D8D6BA9"/>
    <w:rsid w:val="2DAA4A7C"/>
    <w:rsid w:val="2DB2482A"/>
    <w:rsid w:val="2DC0604D"/>
    <w:rsid w:val="2DCE7A2F"/>
    <w:rsid w:val="2DE65D89"/>
    <w:rsid w:val="2E0958B3"/>
    <w:rsid w:val="2E446EC7"/>
    <w:rsid w:val="2E486712"/>
    <w:rsid w:val="2E772F68"/>
    <w:rsid w:val="2E8E7271"/>
    <w:rsid w:val="2E913546"/>
    <w:rsid w:val="2F1D75CA"/>
    <w:rsid w:val="2F3565C7"/>
    <w:rsid w:val="2F3E66C3"/>
    <w:rsid w:val="2F4D1732"/>
    <w:rsid w:val="2FD1009E"/>
    <w:rsid w:val="2FD22068"/>
    <w:rsid w:val="2FFF3D60"/>
    <w:rsid w:val="30284950"/>
    <w:rsid w:val="303F66E2"/>
    <w:rsid w:val="30B215E2"/>
    <w:rsid w:val="30BA6D84"/>
    <w:rsid w:val="30C35D16"/>
    <w:rsid w:val="3102072B"/>
    <w:rsid w:val="312410FB"/>
    <w:rsid w:val="31A22367"/>
    <w:rsid w:val="31C3571F"/>
    <w:rsid w:val="31C6519A"/>
    <w:rsid w:val="31D06C29"/>
    <w:rsid w:val="31D603C6"/>
    <w:rsid w:val="322F6AAF"/>
    <w:rsid w:val="32456B21"/>
    <w:rsid w:val="32546D64"/>
    <w:rsid w:val="325A5389"/>
    <w:rsid w:val="325B4596"/>
    <w:rsid w:val="325D2D20"/>
    <w:rsid w:val="32686602"/>
    <w:rsid w:val="32816E64"/>
    <w:rsid w:val="328A09D8"/>
    <w:rsid w:val="32D21006"/>
    <w:rsid w:val="32F51777"/>
    <w:rsid w:val="32F742BF"/>
    <w:rsid w:val="33116E29"/>
    <w:rsid w:val="331456EA"/>
    <w:rsid w:val="33197277"/>
    <w:rsid w:val="33203C5F"/>
    <w:rsid w:val="3322399D"/>
    <w:rsid w:val="334F74A3"/>
    <w:rsid w:val="3353526D"/>
    <w:rsid w:val="336E2CF5"/>
    <w:rsid w:val="33845A2F"/>
    <w:rsid w:val="33845CF5"/>
    <w:rsid w:val="33955886"/>
    <w:rsid w:val="339B5C84"/>
    <w:rsid w:val="33B53C3A"/>
    <w:rsid w:val="33CD32D0"/>
    <w:rsid w:val="340575D5"/>
    <w:rsid w:val="340D18C0"/>
    <w:rsid w:val="34115391"/>
    <w:rsid w:val="341B22E8"/>
    <w:rsid w:val="343F6B5B"/>
    <w:rsid w:val="34504C29"/>
    <w:rsid w:val="345B0D66"/>
    <w:rsid w:val="3463640A"/>
    <w:rsid w:val="346F6A70"/>
    <w:rsid w:val="34717F80"/>
    <w:rsid w:val="34760988"/>
    <w:rsid w:val="3491598B"/>
    <w:rsid w:val="34B30D17"/>
    <w:rsid w:val="34B82364"/>
    <w:rsid w:val="35613C72"/>
    <w:rsid w:val="3591146E"/>
    <w:rsid w:val="359D46E5"/>
    <w:rsid w:val="35B446E9"/>
    <w:rsid w:val="35DA410B"/>
    <w:rsid w:val="35EAF761"/>
    <w:rsid w:val="364A64BA"/>
    <w:rsid w:val="36767B73"/>
    <w:rsid w:val="368A1A2D"/>
    <w:rsid w:val="369D20BB"/>
    <w:rsid w:val="369E54F7"/>
    <w:rsid w:val="36C07B0C"/>
    <w:rsid w:val="371C7064"/>
    <w:rsid w:val="376B702A"/>
    <w:rsid w:val="37706C07"/>
    <w:rsid w:val="377530F2"/>
    <w:rsid w:val="37A04D9E"/>
    <w:rsid w:val="37A85D2E"/>
    <w:rsid w:val="38156F95"/>
    <w:rsid w:val="383F7F53"/>
    <w:rsid w:val="385120F5"/>
    <w:rsid w:val="3859436B"/>
    <w:rsid w:val="389E77FF"/>
    <w:rsid w:val="38B64CF2"/>
    <w:rsid w:val="38D05F67"/>
    <w:rsid w:val="38D942D1"/>
    <w:rsid w:val="3907382B"/>
    <w:rsid w:val="391A7FD8"/>
    <w:rsid w:val="392F3E4F"/>
    <w:rsid w:val="39467712"/>
    <w:rsid w:val="39BD1F51"/>
    <w:rsid w:val="39C46EC5"/>
    <w:rsid w:val="39CB43DF"/>
    <w:rsid w:val="39D30EB6"/>
    <w:rsid w:val="39DD3AE3"/>
    <w:rsid w:val="39DF5AAD"/>
    <w:rsid w:val="3A0948D8"/>
    <w:rsid w:val="3A3519D1"/>
    <w:rsid w:val="3A4B4BE0"/>
    <w:rsid w:val="3A573895"/>
    <w:rsid w:val="3A6D130B"/>
    <w:rsid w:val="3A847B2D"/>
    <w:rsid w:val="3A881FA5"/>
    <w:rsid w:val="3A9B0E6E"/>
    <w:rsid w:val="3AA60379"/>
    <w:rsid w:val="3AC54C24"/>
    <w:rsid w:val="3AE80991"/>
    <w:rsid w:val="3AFC3315"/>
    <w:rsid w:val="3B942511"/>
    <w:rsid w:val="3BB99B17"/>
    <w:rsid w:val="3BD01953"/>
    <w:rsid w:val="3BD7656A"/>
    <w:rsid w:val="3C2D2B00"/>
    <w:rsid w:val="3C3A6FCB"/>
    <w:rsid w:val="3C42242E"/>
    <w:rsid w:val="3C6863EA"/>
    <w:rsid w:val="3C6A5841"/>
    <w:rsid w:val="3C9331E7"/>
    <w:rsid w:val="3C997507"/>
    <w:rsid w:val="3C9D24E9"/>
    <w:rsid w:val="3CC15863"/>
    <w:rsid w:val="3CC414D7"/>
    <w:rsid w:val="3D0F0457"/>
    <w:rsid w:val="3D241EDC"/>
    <w:rsid w:val="3D71170F"/>
    <w:rsid w:val="3D9077EA"/>
    <w:rsid w:val="3D98797C"/>
    <w:rsid w:val="3DAB3BC4"/>
    <w:rsid w:val="3DAE0265"/>
    <w:rsid w:val="3DC47494"/>
    <w:rsid w:val="3DD57D3F"/>
    <w:rsid w:val="3DD920DC"/>
    <w:rsid w:val="3DF77869"/>
    <w:rsid w:val="3E060836"/>
    <w:rsid w:val="3E3013B3"/>
    <w:rsid w:val="3EB61016"/>
    <w:rsid w:val="3ED1521A"/>
    <w:rsid w:val="3EFA49DF"/>
    <w:rsid w:val="3F035D9A"/>
    <w:rsid w:val="3F450160"/>
    <w:rsid w:val="3F6251F8"/>
    <w:rsid w:val="3F632CDC"/>
    <w:rsid w:val="3F7F7B16"/>
    <w:rsid w:val="3F8E1B07"/>
    <w:rsid w:val="3FDA2F9E"/>
    <w:rsid w:val="3FDFC025"/>
    <w:rsid w:val="3FE16DEF"/>
    <w:rsid w:val="3FF22667"/>
    <w:rsid w:val="401F30A7"/>
    <w:rsid w:val="40404615"/>
    <w:rsid w:val="405A40DF"/>
    <w:rsid w:val="405B543E"/>
    <w:rsid w:val="405B6502"/>
    <w:rsid w:val="40800288"/>
    <w:rsid w:val="409D5D7A"/>
    <w:rsid w:val="40A468DB"/>
    <w:rsid w:val="40D54929"/>
    <w:rsid w:val="40F27CC8"/>
    <w:rsid w:val="410B074A"/>
    <w:rsid w:val="410D1BF9"/>
    <w:rsid w:val="410F0A26"/>
    <w:rsid w:val="41263FC1"/>
    <w:rsid w:val="41434F59"/>
    <w:rsid w:val="417D43D4"/>
    <w:rsid w:val="41AF3FB7"/>
    <w:rsid w:val="41B06620"/>
    <w:rsid w:val="42132798"/>
    <w:rsid w:val="423E3151"/>
    <w:rsid w:val="4246077D"/>
    <w:rsid w:val="425E7358"/>
    <w:rsid w:val="425F59DD"/>
    <w:rsid w:val="427056F5"/>
    <w:rsid w:val="427F7E2D"/>
    <w:rsid w:val="42C011BC"/>
    <w:rsid w:val="42EB5950"/>
    <w:rsid w:val="43333DA9"/>
    <w:rsid w:val="4339681A"/>
    <w:rsid w:val="434B1150"/>
    <w:rsid w:val="43534F87"/>
    <w:rsid w:val="43692A43"/>
    <w:rsid w:val="43756F14"/>
    <w:rsid w:val="43770B04"/>
    <w:rsid w:val="43C33DCA"/>
    <w:rsid w:val="43D74429"/>
    <w:rsid w:val="43DB3F47"/>
    <w:rsid w:val="440D7CF1"/>
    <w:rsid w:val="44163A1E"/>
    <w:rsid w:val="443411EE"/>
    <w:rsid w:val="44781760"/>
    <w:rsid w:val="448E0268"/>
    <w:rsid w:val="44B64D41"/>
    <w:rsid w:val="44BA339E"/>
    <w:rsid w:val="44CD1324"/>
    <w:rsid w:val="452A22D2"/>
    <w:rsid w:val="45354821"/>
    <w:rsid w:val="453C286E"/>
    <w:rsid w:val="454021E6"/>
    <w:rsid w:val="45660E30"/>
    <w:rsid w:val="45877724"/>
    <w:rsid w:val="459050A5"/>
    <w:rsid w:val="45B46040"/>
    <w:rsid w:val="45E31208"/>
    <w:rsid w:val="45E561F9"/>
    <w:rsid w:val="45EE30CE"/>
    <w:rsid w:val="461F5BAF"/>
    <w:rsid w:val="464D4F41"/>
    <w:rsid w:val="46911EDD"/>
    <w:rsid w:val="4697205A"/>
    <w:rsid w:val="46AB2F56"/>
    <w:rsid w:val="46CC5A2A"/>
    <w:rsid w:val="46DE74E5"/>
    <w:rsid w:val="471E40C9"/>
    <w:rsid w:val="476756CE"/>
    <w:rsid w:val="47B40579"/>
    <w:rsid w:val="47B52990"/>
    <w:rsid w:val="47EE46AB"/>
    <w:rsid w:val="480037BE"/>
    <w:rsid w:val="4800405C"/>
    <w:rsid w:val="48086415"/>
    <w:rsid w:val="482242B8"/>
    <w:rsid w:val="48434A56"/>
    <w:rsid w:val="48775269"/>
    <w:rsid w:val="48BF48D1"/>
    <w:rsid w:val="49005572"/>
    <w:rsid w:val="490C202A"/>
    <w:rsid w:val="49736E18"/>
    <w:rsid w:val="498071BA"/>
    <w:rsid w:val="499646F8"/>
    <w:rsid w:val="49A540DA"/>
    <w:rsid w:val="49CD08E4"/>
    <w:rsid w:val="49E77868"/>
    <w:rsid w:val="49FE5ADB"/>
    <w:rsid w:val="4A1B3767"/>
    <w:rsid w:val="4A383F01"/>
    <w:rsid w:val="4A595408"/>
    <w:rsid w:val="4A6F057C"/>
    <w:rsid w:val="4A70067F"/>
    <w:rsid w:val="4A7463FF"/>
    <w:rsid w:val="4AAC360C"/>
    <w:rsid w:val="4AE20AD5"/>
    <w:rsid w:val="4AE46599"/>
    <w:rsid w:val="4AE56B2F"/>
    <w:rsid w:val="4B127663"/>
    <w:rsid w:val="4B6F0FB7"/>
    <w:rsid w:val="4B901847"/>
    <w:rsid w:val="4B977F95"/>
    <w:rsid w:val="4BE3077A"/>
    <w:rsid w:val="4BEE392E"/>
    <w:rsid w:val="4BEE397F"/>
    <w:rsid w:val="4C3B016F"/>
    <w:rsid w:val="4C7D2EEE"/>
    <w:rsid w:val="4D077014"/>
    <w:rsid w:val="4D07739D"/>
    <w:rsid w:val="4D10183F"/>
    <w:rsid w:val="4D3A1520"/>
    <w:rsid w:val="4D435942"/>
    <w:rsid w:val="4D6C68F4"/>
    <w:rsid w:val="4D7367E0"/>
    <w:rsid w:val="4D926C66"/>
    <w:rsid w:val="4D9E35AA"/>
    <w:rsid w:val="4DA8662F"/>
    <w:rsid w:val="4DBC3274"/>
    <w:rsid w:val="4DC93E22"/>
    <w:rsid w:val="4DD3367B"/>
    <w:rsid w:val="4DEA4CF4"/>
    <w:rsid w:val="4E5276AD"/>
    <w:rsid w:val="4E8D742A"/>
    <w:rsid w:val="4E9D3C02"/>
    <w:rsid w:val="4EEA4880"/>
    <w:rsid w:val="4F4E12B3"/>
    <w:rsid w:val="4F584754"/>
    <w:rsid w:val="4F8D7FC1"/>
    <w:rsid w:val="4F995778"/>
    <w:rsid w:val="4FA54695"/>
    <w:rsid w:val="4FAF7F80"/>
    <w:rsid w:val="4FED439D"/>
    <w:rsid w:val="4FFF54D6"/>
    <w:rsid w:val="50070165"/>
    <w:rsid w:val="501F46C7"/>
    <w:rsid w:val="502C45F4"/>
    <w:rsid w:val="503C182F"/>
    <w:rsid w:val="5073565D"/>
    <w:rsid w:val="50AB003F"/>
    <w:rsid w:val="50AD3D64"/>
    <w:rsid w:val="510B639A"/>
    <w:rsid w:val="514269D2"/>
    <w:rsid w:val="51907961"/>
    <w:rsid w:val="51B45428"/>
    <w:rsid w:val="51BD44CE"/>
    <w:rsid w:val="51BD7FB5"/>
    <w:rsid w:val="51C15AB4"/>
    <w:rsid w:val="51D0329D"/>
    <w:rsid w:val="52116F57"/>
    <w:rsid w:val="52181704"/>
    <w:rsid w:val="52250502"/>
    <w:rsid w:val="52287E72"/>
    <w:rsid w:val="525F17E0"/>
    <w:rsid w:val="52824CC9"/>
    <w:rsid w:val="528B637A"/>
    <w:rsid w:val="52905B13"/>
    <w:rsid w:val="52950FA7"/>
    <w:rsid w:val="52BE6086"/>
    <w:rsid w:val="52CA258A"/>
    <w:rsid w:val="52E76850"/>
    <w:rsid w:val="534B11BB"/>
    <w:rsid w:val="535D7D17"/>
    <w:rsid w:val="535F3A8F"/>
    <w:rsid w:val="53A25729"/>
    <w:rsid w:val="53EC109A"/>
    <w:rsid w:val="53F54917"/>
    <w:rsid w:val="53FE70FC"/>
    <w:rsid w:val="54006D9F"/>
    <w:rsid w:val="541E36EF"/>
    <w:rsid w:val="542C01FF"/>
    <w:rsid w:val="54745318"/>
    <w:rsid w:val="54790B80"/>
    <w:rsid w:val="547E6196"/>
    <w:rsid w:val="54883349"/>
    <w:rsid w:val="54B65A97"/>
    <w:rsid w:val="54D75F01"/>
    <w:rsid w:val="54E23310"/>
    <w:rsid w:val="551F0D2D"/>
    <w:rsid w:val="553E1482"/>
    <w:rsid w:val="554670E1"/>
    <w:rsid w:val="55B92DB4"/>
    <w:rsid w:val="55C53951"/>
    <w:rsid w:val="55CE14B2"/>
    <w:rsid w:val="55E43DBE"/>
    <w:rsid w:val="55F87805"/>
    <w:rsid w:val="55FB3996"/>
    <w:rsid w:val="56171238"/>
    <w:rsid w:val="56211B60"/>
    <w:rsid w:val="562F33B3"/>
    <w:rsid w:val="5632548A"/>
    <w:rsid w:val="564A4445"/>
    <w:rsid w:val="565078CA"/>
    <w:rsid w:val="565650D0"/>
    <w:rsid w:val="56603E7C"/>
    <w:rsid w:val="568D5C00"/>
    <w:rsid w:val="56924439"/>
    <w:rsid w:val="56A02CA6"/>
    <w:rsid w:val="56C91A31"/>
    <w:rsid w:val="56FB745A"/>
    <w:rsid w:val="57041A20"/>
    <w:rsid w:val="57077837"/>
    <w:rsid w:val="571F190E"/>
    <w:rsid w:val="572052E3"/>
    <w:rsid w:val="573B036F"/>
    <w:rsid w:val="575E405D"/>
    <w:rsid w:val="57B76F22"/>
    <w:rsid w:val="57BD6FD6"/>
    <w:rsid w:val="57D51A65"/>
    <w:rsid w:val="57D8796C"/>
    <w:rsid w:val="57DA5BEE"/>
    <w:rsid w:val="57F14ED1"/>
    <w:rsid w:val="58022C3B"/>
    <w:rsid w:val="5814296E"/>
    <w:rsid w:val="58411023"/>
    <w:rsid w:val="5855720E"/>
    <w:rsid w:val="589C6BEB"/>
    <w:rsid w:val="58B8779D"/>
    <w:rsid w:val="58E54E05"/>
    <w:rsid w:val="58EE08CF"/>
    <w:rsid w:val="58F84874"/>
    <w:rsid w:val="58FB6B5F"/>
    <w:rsid w:val="58FC1D80"/>
    <w:rsid w:val="59005D7D"/>
    <w:rsid w:val="5925241D"/>
    <w:rsid w:val="59304706"/>
    <w:rsid w:val="5938356A"/>
    <w:rsid w:val="59451AAD"/>
    <w:rsid w:val="596455BB"/>
    <w:rsid w:val="597F8FF9"/>
    <w:rsid w:val="59B86520"/>
    <w:rsid w:val="59BD9C8A"/>
    <w:rsid w:val="59C04B5B"/>
    <w:rsid w:val="59EA1BD8"/>
    <w:rsid w:val="59EB33A0"/>
    <w:rsid w:val="59FB2037"/>
    <w:rsid w:val="5A187C75"/>
    <w:rsid w:val="5A23587B"/>
    <w:rsid w:val="5A450480"/>
    <w:rsid w:val="5A7631A9"/>
    <w:rsid w:val="5A7E7288"/>
    <w:rsid w:val="5A8418D2"/>
    <w:rsid w:val="5A980CA3"/>
    <w:rsid w:val="5A996F37"/>
    <w:rsid w:val="5AC01788"/>
    <w:rsid w:val="5AEC372E"/>
    <w:rsid w:val="5AFB5FCC"/>
    <w:rsid w:val="5B1C2265"/>
    <w:rsid w:val="5B2451DE"/>
    <w:rsid w:val="5B510A5B"/>
    <w:rsid w:val="5B73386F"/>
    <w:rsid w:val="5B982658"/>
    <w:rsid w:val="5B9C46E4"/>
    <w:rsid w:val="5BB27DF8"/>
    <w:rsid w:val="5C120900"/>
    <w:rsid w:val="5C1D42D4"/>
    <w:rsid w:val="5C241B30"/>
    <w:rsid w:val="5C2522BB"/>
    <w:rsid w:val="5C526F4B"/>
    <w:rsid w:val="5C5B3EA2"/>
    <w:rsid w:val="5C690641"/>
    <w:rsid w:val="5C8A4062"/>
    <w:rsid w:val="5C9A520B"/>
    <w:rsid w:val="5CAF34C8"/>
    <w:rsid w:val="5CC023FA"/>
    <w:rsid w:val="5CE13766"/>
    <w:rsid w:val="5CF65A94"/>
    <w:rsid w:val="5CF97B57"/>
    <w:rsid w:val="5D1642BC"/>
    <w:rsid w:val="5D186A5C"/>
    <w:rsid w:val="5D296DE4"/>
    <w:rsid w:val="5D4C13D7"/>
    <w:rsid w:val="5D545550"/>
    <w:rsid w:val="5D5E4DB7"/>
    <w:rsid w:val="5D7E11F4"/>
    <w:rsid w:val="5D850596"/>
    <w:rsid w:val="5DA56D62"/>
    <w:rsid w:val="5DCF6A18"/>
    <w:rsid w:val="5DD22FD0"/>
    <w:rsid w:val="5DDB1F64"/>
    <w:rsid w:val="5DEF5A0F"/>
    <w:rsid w:val="5DF66BFC"/>
    <w:rsid w:val="5E4822A8"/>
    <w:rsid w:val="5E5D506F"/>
    <w:rsid w:val="5E6C7060"/>
    <w:rsid w:val="5E7447B2"/>
    <w:rsid w:val="5E7F6C14"/>
    <w:rsid w:val="5E8555DA"/>
    <w:rsid w:val="5E912F6A"/>
    <w:rsid w:val="5E916546"/>
    <w:rsid w:val="5EB15425"/>
    <w:rsid w:val="5EF451EC"/>
    <w:rsid w:val="5EFF1F48"/>
    <w:rsid w:val="5EFFCFE0"/>
    <w:rsid w:val="5F605F9A"/>
    <w:rsid w:val="5F6B2DBA"/>
    <w:rsid w:val="5F7677D7"/>
    <w:rsid w:val="5F797C86"/>
    <w:rsid w:val="5F807C95"/>
    <w:rsid w:val="5F8673EF"/>
    <w:rsid w:val="5F8D54D8"/>
    <w:rsid w:val="5F94496D"/>
    <w:rsid w:val="5F945377"/>
    <w:rsid w:val="5FB94527"/>
    <w:rsid w:val="5FEF2534"/>
    <w:rsid w:val="6005776C"/>
    <w:rsid w:val="602A58B7"/>
    <w:rsid w:val="602B6402"/>
    <w:rsid w:val="60681AA9"/>
    <w:rsid w:val="606D714B"/>
    <w:rsid w:val="60791F08"/>
    <w:rsid w:val="60911071"/>
    <w:rsid w:val="60997EB4"/>
    <w:rsid w:val="609A1858"/>
    <w:rsid w:val="60E97295"/>
    <w:rsid w:val="614D5EC2"/>
    <w:rsid w:val="61534507"/>
    <w:rsid w:val="61855D2D"/>
    <w:rsid w:val="61A00623"/>
    <w:rsid w:val="61AF4992"/>
    <w:rsid w:val="61FB4D8E"/>
    <w:rsid w:val="62913539"/>
    <w:rsid w:val="62946852"/>
    <w:rsid w:val="629923ED"/>
    <w:rsid w:val="62B24C1D"/>
    <w:rsid w:val="62DE4605"/>
    <w:rsid w:val="62E25B42"/>
    <w:rsid w:val="62E64BE2"/>
    <w:rsid w:val="631D301E"/>
    <w:rsid w:val="631F4356"/>
    <w:rsid w:val="633839B4"/>
    <w:rsid w:val="63491004"/>
    <w:rsid w:val="63815B56"/>
    <w:rsid w:val="63967B3E"/>
    <w:rsid w:val="63C34A26"/>
    <w:rsid w:val="63C67212"/>
    <w:rsid w:val="64021829"/>
    <w:rsid w:val="64025D70"/>
    <w:rsid w:val="646118A5"/>
    <w:rsid w:val="646627A3"/>
    <w:rsid w:val="646F5DDE"/>
    <w:rsid w:val="64946690"/>
    <w:rsid w:val="64A2188E"/>
    <w:rsid w:val="64AB56D0"/>
    <w:rsid w:val="64AD4F13"/>
    <w:rsid w:val="64B41DA5"/>
    <w:rsid w:val="64C06FB2"/>
    <w:rsid w:val="65136487"/>
    <w:rsid w:val="65252A1E"/>
    <w:rsid w:val="65613D5D"/>
    <w:rsid w:val="6563469E"/>
    <w:rsid w:val="65673F4D"/>
    <w:rsid w:val="65736F26"/>
    <w:rsid w:val="65856959"/>
    <w:rsid w:val="658E3B2A"/>
    <w:rsid w:val="659B28B6"/>
    <w:rsid w:val="65B81F8F"/>
    <w:rsid w:val="65BC08CD"/>
    <w:rsid w:val="65DC5E81"/>
    <w:rsid w:val="65DD1B38"/>
    <w:rsid w:val="65FD7CC9"/>
    <w:rsid w:val="66041A1B"/>
    <w:rsid w:val="66045E1B"/>
    <w:rsid w:val="661A5D6E"/>
    <w:rsid w:val="661D706D"/>
    <w:rsid w:val="663311D1"/>
    <w:rsid w:val="6647794F"/>
    <w:rsid w:val="66495CA1"/>
    <w:rsid w:val="667744C7"/>
    <w:rsid w:val="667C62AE"/>
    <w:rsid w:val="66833C8A"/>
    <w:rsid w:val="669058B5"/>
    <w:rsid w:val="66990B79"/>
    <w:rsid w:val="66D30950"/>
    <w:rsid w:val="66D734E4"/>
    <w:rsid w:val="66E610DD"/>
    <w:rsid w:val="66F44128"/>
    <w:rsid w:val="67140294"/>
    <w:rsid w:val="675E5F1F"/>
    <w:rsid w:val="676F344F"/>
    <w:rsid w:val="67713939"/>
    <w:rsid w:val="67784CC7"/>
    <w:rsid w:val="67BC554A"/>
    <w:rsid w:val="67C06D97"/>
    <w:rsid w:val="67E24D9E"/>
    <w:rsid w:val="68043BF4"/>
    <w:rsid w:val="680F4609"/>
    <w:rsid w:val="682639C2"/>
    <w:rsid w:val="68552CA8"/>
    <w:rsid w:val="68DF9C86"/>
    <w:rsid w:val="68F964CA"/>
    <w:rsid w:val="6912331A"/>
    <w:rsid w:val="696A3F95"/>
    <w:rsid w:val="69921CC8"/>
    <w:rsid w:val="69AD032F"/>
    <w:rsid w:val="69B31FE7"/>
    <w:rsid w:val="69FC1BE0"/>
    <w:rsid w:val="6A097E59"/>
    <w:rsid w:val="6A360EEA"/>
    <w:rsid w:val="6A675E13"/>
    <w:rsid w:val="6A731776"/>
    <w:rsid w:val="6A771266"/>
    <w:rsid w:val="6A7A727B"/>
    <w:rsid w:val="6A8D3DA6"/>
    <w:rsid w:val="6AA47B81"/>
    <w:rsid w:val="6ADE1D95"/>
    <w:rsid w:val="6B0760D8"/>
    <w:rsid w:val="6B5A0891"/>
    <w:rsid w:val="6B944049"/>
    <w:rsid w:val="6BA74953"/>
    <w:rsid w:val="6BC531F3"/>
    <w:rsid w:val="6BDF7E05"/>
    <w:rsid w:val="6C0C59DE"/>
    <w:rsid w:val="6C134138"/>
    <w:rsid w:val="6C154631"/>
    <w:rsid w:val="6C2345DA"/>
    <w:rsid w:val="6C3C2767"/>
    <w:rsid w:val="6C3E2CCD"/>
    <w:rsid w:val="6C4E249B"/>
    <w:rsid w:val="6CA00A0D"/>
    <w:rsid w:val="6CA65E33"/>
    <w:rsid w:val="6CBB2403"/>
    <w:rsid w:val="6CD26F58"/>
    <w:rsid w:val="6CE07597"/>
    <w:rsid w:val="6D033285"/>
    <w:rsid w:val="6D5538CD"/>
    <w:rsid w:val="6D5A453F"/>
    <w:rsid w:val="6D660B84"/>
    <w:rsid w:val="6D733A24"/>
    <w:rsid w:val="6D981752"/>
    <w:rsid w:val="6D9E0465"/>
    <w:rsid w:val="6D9F6010"/>
    <w:rsid w:val="6DA02E78"/>
    <w:rsid w:val="6E0A419F"/>
    <w:rsid w:val="6E494CC8"/>
    <w:rsid w:val="6E4E22DE"/>
    <w:rsid w:val="6E5476BC"/>
    <w:rsid w:val="6E900B48"/>
    <w:rsid w:val="6E900C83"/>
    <w:rsid w:val="6EC40C8D"/>
    <w:rsid w:val="6EE64C0C"/>
    <w:rsid w:val="6EE756FF"/>
    <w:rsid w:val="6F172591"/>
    <w:rsid w:val="6F326814"/>
    <w:rsid w:val="6F3AAB41"/>
    <w:rsid w:val="6F5E4812"/>
    <w:rsid w:val="6FBE165A"/>
    <w:rsid w:val="6FC860C0"/>
    <w:rsid w:val="6FC87136"/>
    <w:rsid w:val="6FCE70A8"/>
    <w:rsid w:val="6FDB5ADE"/>
    <w:rsid w:val="7000794F"/>
    <w:rsid w:val="703C2796"/>
    <w:rsid w:val="70AE379D"/>
    <w:rsid w:val="70B40873"/>
    <w:rsid w:val="70B77B16"/>
    <w:rsid w:val="70DC1D73"/>
    <w:rsid w:val="70DE2C41"/>
    <w:rsid w:val="71283568"/>
    <w:rsid w:val="713E7FFE"/>
    <w:rsid w:val="71501F58"/>
    <w:rsid w:val="71553388"/>
    <w:rsid w:val="715A70ED"/>
    <w:rsid w:val="718C4198"/>
    <w:rsid w:val="719B283C"/>
    <w:rsid w:val="71BF4F22"/>
    <w:rsid w:val="71C5161E"/>
    <w:rsid w:val="71C60BBD"/>
    <w:rsid w:val="71DD572F"/>
    <w:rsid w:val="71FA2284"/>
    <w:rsid w:val="72077373"/>
    <w:rsid w:val="721750DD"/>
    <w:rsid w:val="72414F65"/>
    <w:rsid w:val="724B647F"/>
    <w:rsid w:val="72514A93"/>
    <w:rsid w:val="727D36F1"/>
    <w:rsid w:val="72812429"/>
    <w:rsid w:val="72B15531"/>
    <w:rsid w:val="72BD2E4A"/>
    <w:rsid w:val="72CE14DA"/>
    <w:rsid w:val="73102258"/>
    <w:rsid w:val="73293271"/>
    <w:rsid w:val="73355BB3"/>
    <w:rsid w:val="734463A5"/>
    <w:rsid w:val="73A35027"/>
    <w:rsid w:val="73A70437"/>
    <w:rsid w:val="73AB3D10"/>
    <w:rsid w:val="73B12625"/>
    <w:rsid w:val="73F230EE"/>
    <w:rsid w:val="742064CB"/>
    <w:rsid w:val="743951B9"/>
    <w:rsid w:val="74511EDC"/>
    <w:rsid w:val="746C5BB4"/>
    <w:rsid w:val="746F1200"/>
    <w:rsid w:val="748702F8"/>
    <w:rsid w:val="74A76372"/>
    <w:rsid w:val="756B681A"/>
    <w:rsid w:val="757E794D"/>
    <w:rsid w:val="75846F2D"/>
    <w:rsid w:val="75973CBD"/>
    <w:rsid w:val="75B21702"/>
    <w:rsid w:val="760C31AA"/>
    <w:rsid w:val="76322AE9"/>
    <w:rsid w:val="76397D18"/>
    <w:rsid w:val="763E70DC"/>
    <w:rsid w:val="764D059E"/>
    <w:rsid w:val="765D6045"/>
    <w:rsid w:val="7660670A"/>
    <w:rsid w:val="76860D0B"/>
    <w:rsid w:val="76877F89"/>
    <w:rsid w:val="76B25D27"/>
    <w:rsid w:val="76DE41F1"/>
    <w:rsid w:val="76E57E3C"/>
    <w:rsid w:val="76EDA81D"/>
    <w:rsid w:val="76EE62B6"/>
    <w:rsid w:val="76FC30F7"/>
    <w:rsid w:val="774764F9"/>
    <w:rsid w:val="775552A3"/>
    <w:rsid w:val="77966AA2"/>
    <w:rsid w:val="77A13DC6"/>
    <w:rsid w:val="77CB499F"/>
    <w:rsid w:val="77DC095A"/>
    <w:rsid w:val="77DC4DFE"/>
    <w:rsid w:val="77DE062E"/>
    <w:rsid w:val="78435E52"/>
    <w:rsid w:val="78873D84"/>
    <w:rsid w:val="789210C2"/>
    <w:rsid w:val="789A6244"/>
    <w:rsid w:val="78A2146F"/>
    <w:rsid w:val="78A43B6E"/>
    <w:rsid w:val="78AD455D"/>
    <w:rsid w:val="78C0202A"/>
    <w:rsid w:val="79002F38"/>
    <w:rsid w:val="79504556"/>
    <w:rsid w:val="795E3E7D"/>
    <w:rsid w:val="79602195"/>
    <w:rsid w:val="79646E59"/>
    <w:rsid w:val="7970109B"/>
    <w:rsid w:val="799A571B"/>
    <w:rsid w:val="79A90D10"/>
    <w:rsid w:val="79D815F5"/>
    <w:rsid w:val="79DD0435"/>
    <w:rsid w:val="7A3D4D0F"/>
    <w:rsid w:val="7A401675"/>
    <w:rsid w:val="7A730B94"/>
    <w:rsid w:val="7A7D45CF"/>
    <w:rsid w:val="7A8202C4"/>
    <w:rsid w:val="7A822A76"/>
    <w:rsid w:val="7AAC0AB8"/>
    <w:rsid w:val="7AD631BD"/>
    <w:rsid w:val="7AE55D78"/>
    <w:rsid w:val="7AFE0F35"/>
    <w:rsid w:val="7B0512AA"/>
    <w:rsid w:val="7B080B3F"/>
    <w:rsid w:val="7B203254"/>
    <w:rsid w:val="7B4F7695"/>
    <w:rsid w:val="7B580C40"/>
    <w:rsid w:val="7B75534E"/>
    <w:rsid w:val="7B8A3778"/>
    <w:rsid w:val="7B8D7AD7"/>
    <w:rsid w:val="7BBB2901"/>
    <w:rsid w:val="7BC07FAC"/>
    <w:rsid w:val="7BDE7397"/>
    <w:rsid w:val="7C135BCC"/>
    <w:rsid w:val="7C142DB9"/>
    <w:rsid w:val="7C3F7B31"/>
    <w:rsid w:val="7C420366"/>
    <w:rsid w:val="7CB75E9C"/>
    <w:rsid w:val="7CB934B5"/>
    <w:rsid w:val="7CF60710"/>
    <w:rsid w:val="7D083FA0"/>
    <w:rsid w:val="7D350691"/>
    <w:rsid w:val="7D6F1533"/>
    <w:rsid w:val="7D760D57"/>
    <w:rsid w:val="7D983576"/>
    <w:rsid w:val="7DAE6560"/>
    <w:rsid w:val="7DCC1471"/>
    <w:rsid w:val="7DD520D4"/>
    <w:rsid w:val="7DD6409E"/>
    <w:rsid w:val="7DFF175B"/>
    <w:rsid w:val="7E116F19"/>
    <w:rsid w:val="7E3F5587"/>
    <w:rsid w:val="7E5C0A47"/>
    <w:rsid w:val="7EB50157"/>
    <w:rsid w:val="7EE42C21"/>
    <w:rsid w:val="7F18742B"/>
    <w:rsid w:val="7F1D4BF9"/>
    <w:rsid w:val="7F390D88"/>
    <w:rsid w:val="7F405C73"/>
    <w:rsid w:val="7F413799"/>
    <w:rsid w:val="7F421D33"/>
    <w:rsid w:val="7F4E65E2"/>
    <w:rsid w:val="7F6D458E"/>
    <w:rsid w:val="7F6D677A"/>
    <w:rsid w:val="7F9D0618"/>
    <w:rsid w:val="7FAA7590"/>
    <w:rsid w:val="7FC56687"/>
    <w:rsid w:val="7FE900B8"/>
    <w:rsid w:val="BDD3A7EF"/>
    <w:rsid w:val="BDF7DF37"/>
    <w:rsid w:val="BFCF5555"/>
    <w:rsid w:val="D3FE2051"/>
    <w:rsid w:val="D6EE6A8C"/>
    <w:rsid w:val="D6FF5A20"/>
    <w:rsid w:val="EF7F970D"/>
    <w:rsid w:val="EFC93E77"/>
    <w:rsid w:val="EFCA8964"/>
    <w:rsid w:val="F75B9664"/>
    <w:rsid w:val="F76CDF1A"/>
    <w:rsid w:val="F93F3AF3"/>
    <w:rsid w:val="FDEF5C7F"/>
    <w:rsid w:val="FDF00A4A"/>
    <w:rsid w:val="FFBF7E21"/>
    <w:rsid w:val="FFFFD49B"/>
    <w:rsid w:val="FFFFF6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qFormat="1" w:uiPriority="99" w:semiHidden="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34">
    <w:name w:val="Default Paragraph Font"/>
    <w:unhideWhenUsed/>
    <w:qFormat/>
    <w:uiPriority w:val="1"/>
  </w:style>
  <w:style w:type="table" w:default="1" w:styleId="3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Body Text First Indent 21"/>
    <w:next w:val="1"/>
    <w:qFormat/>
    <w:uiPriority w:val="0"/>
    <w:pPr>
      <w:widowControl w:val="0"/>
      <w:spacing w:after="120"/>
      <w:jc w:val="both"/>
    </w:pPr>
    <w:rPr>
      <w:rFonts w:ascii="Times New Roman" w:hAnsi="Times New Roman" w:eastAsia="微软雅黑" w:cs="Times New Roman"/>
      <w:kern w:val="2"/>
      <w:sz w:val="21"/>
      <w:szCs w:val="22"/>
      <w:lang w:val="en-US" w:eastAsia="zh-CN" w:bidi="ar-SA"/>
    </w:rPr>
  </w:style>
  <w:style w:type="paragraph" w:styleId="6">
    <w:name w:val="toc 7"/>
    <w:basedOn w:val="1"/>
    <w:next w:val="1"/>
    <w:unhideWhenUsed/>
    <w:qFormat/>
    <w:uiPriority w:val="39"/>
    <w:pPr>
      <w:ind w:left="2520" w:leftChars="1200"/>
    </w:pPr>
    <w:rPr>
      <w:rFonts w:ascii="等线" w:hAnsi="等线" w:eastAsia="等线"/>
      <w:szCs w:val="22"/>
    </w:rPr>
  </w:style>
  <w:style w:type="paragraph" w:styleId="7">
    <w:name w:val="Normal Indent"/>
    <w:basedOn w:val="1"/>
    <w:next w:val="8"/>
    <w:link w:val="40"/>
    <w:qFormat/>
    <w:uiPriority w:val="0"/>
    <w:pPr>
      <w:ind w:firstLine="420" w:firstLineChars="200"/>
    </w:pPr>
  </w:style>
  <w:style w:type="paragraph" w:customStyle="1" w:styleId="8">
    <w:name w:val="首行缩进"/>
    <w:basedOn w:val="1"/>
    <w:unhideWhenUsed/>
    <w:qFormat/>
    <w:uiPriority w:val="0"/>
    <w:pPr>
      <w:spacing w:beforeLines="0" w:afterLines="0" w:line="360" w:lineRule="auto"/>
      <w:ind w:firstLine="480" w:firstLineChars="200"/>
    </w:pPr>
    <w:rPr>
      <w:rFonts w:hint="default"/>
      <w:sz w:val="24"/>
      <w:szCs w:val="24"/>
      <w:lang w:val="zh-CN"/>
    </w:rPr>
  </w:style>
  <w:style w:type="paragraph" w:styleId="9">
    <w:name w:val="toa heading"/>
    <w:basedOn w:val="1"/>
    <w:next w:val="1"/>
    <w:unhideWhenUsed/>
    <w:qFormat/>
    <w:uiPriority w:val="99"/>
    <w:pPr>
      <w:spacing w:before="120"/>
    </w:pPr>
    <w:rPr>
      <w:rFonts w:ascii="Arial" w:hAnsi="Arial" w:cs="Arial"/>
      <w:sz w:val="24"/>
      <w:szCs w:val="24"/>
    </w:rPr>
  </w:style>
  <w:style w:type="paragraph" w:styleId="10">
    <w:name w:val="annotation text"/>
    <w:basedOn w:val="1"/>
    <w:link w:val="41"/>
    <w:qFormat/>
    <w:uiPriority w:val="0"/>
    <w:pPr>
      <w:jc w:val="left"/>
    </w:pPr>
    <w:rPr>
      <w:sz w:val="18"/>
      <w:szCs w:val="20"/>
    </w:rPr>
  </w:style>
  <w:style w:type="paragraph" w:styleId="11">
    <w:name w:val="Body Text"/>
    <w:basedOn w:val="1"/>
    <w:next w:val="12"/>
    <w:qFormat/>
    <w:uiPriority w:val="0"/>
    <w:pPr>
      <w:spacing w:after="120"/>
    </w:pPr>
  </w:style>
  <w:style w:type="paragraph" w:styleId="12">
    <w:name w:val="Body Text First Indent"/>
    <w:basedOn w:val="11"/>
    <w:qFormat/>
    <w:uiPriority w:val="0"/>
    <w:pPr>
      <w:ind w:firstLine="420" w:firstLineChars="100"/>
    </w:pPr>
    <w:rPr>
      <w:rFonts w:ascii="Calibri" w:hAnsi="Calibri" w:eastAsia="宋体"/>
      <w:sz w:val="21"/>
    </w:rPr>
  </w:style>
  <w:style w:type="paragraph" w:styleId="13">
    <w:name w:val="Body Text Indent"/>
    <w:basedOn w:val="1"/>
    <w:link w:val="42"/>
    <w:qFormat/>
    <w:uiPriority w:val="0"/>
    <w:pPr>
      <w:ind w:firstLine="630"/>
    </w:pPr>
    <w:rPr>
      <w:sz w:val="32"/>
      <w:szCs w:val="20"/>
    </w:rPr>
  </w:style>
  <w:style w:type="paragraph" w:styleId="14">
    <w:name w:val="toc 5"/>
    <w:basedOn w:val="1"/>
    <w:next w:val="1"/>
    <w:unhideWhenUsed/>
    <w:qFormat/>
    <w:uiPriority w:val="39"/>
    <w:pPr>
      <w:ind w:left="1680" w:leftChars="800"/>
    </w:pPr>
    <w:rPr>
      <w:rFonts w:ascii="等线" w:hAnsi="等线" w:eastAsia="等线"/>
      <w:szCs w:val="22"/>
    </w:rPr>
  </w:style>
  <w:style w:type="paragraph" w:styleId="15">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16">
    <w:name w:val="Plain Text"/>
    <w:basedOn w:val="1"/>
    <w:next w:val="1"/>
    <w:link w:val="43"/>
    <w:qFormat/>
    <w:uiPriority w:val="0"/>
    <w:pPr>
      <w:autoSpaceDE w:val="0"/>
      <w:autoSpaceDN w:val="0"/>
      <w:adjustRightInd w:val="0"/>
    </w:pPr>
    <w:rPr>
      <w:rFonts w:ascii="宋体" w:hAnsi="Tms Rmn"/>
      <w:kern w:val="0"/>
      <w:szCs w:val="20"/>
    </w:rPr>
  </w:style>
  <w:style w:type="paragraph" w:styleId="17">
    <w:name w:val="toc 8"/>
    <w:basedOn w:val="1"/>
    <w:next w:val="1"/>
    <w:unhideWhenUsed/>
    <w:qFormat/>
    <w:uiPriority w:val="39"/>
    <w:pPr>
      <w:ind w:left="2940" w:leftChars="1400"/>
    </w:pPr>
    <w:rPr>
      <w:rFonts w:ascii="等线" w:hAnsi="等线" w:eastAsia="等线"/>
      <w:szCs w:val="22"/>
    </w:rPr>
  </w:style>
  <w:style w:type="paragraph" w:styleId="18">
    <w:name w:val="Body Text Indent 2"/>
    <w:basedOn w:val="1"/>
    <w:qFormat/>
    <w:uiPriority w:val="0"/>
    <w:pPr>
      <w:spacing w:after="120" w:line="480" w:lineRule="auto"/>
      <w:ind w:left="420" w:leftChars="200"/>
    </w:pPr>
  </w:style>
  <w:style w:type="paragraph" w:styleId="19">
    <w:name w:val="Balloon Text"/>
    <w:basedOn w:val="1"/>
    <w:semiHidden/>
    <w:qFormat/>
    <w:uiPriority w:val="0"/>
    <w:rPr>
      <w:sz w:val="18"/>
      <w:szCs w:val="18"/>
    </w:rPr>
  </w:style>
  <w:style w:type="paragraph" w:styleId="20">
    <w:name w:val="footer"/>
    <w:basedOn w:val="1"/>
    <w:link w:val="44"/>
    <w:qFormat/>
    <w:uiPriority w:val="99"/>
    <w:pPr>
      <w:tabs>
        <w:tab w:val="center" w:pos="4153"/>
        <w:tab w:val="right" w:pos="8306"/>
      </w:tabs>
      <w:snapToGrid w:val="0"/>
      <w:jc w:val="left"/>
    </w:pPr>
    <w:rPr>
      <w:sz w:val="18"/>
      <w:szCs w:val="20"/>
    </w:rPr>
  </w:style>
  <w:style w:type="paragraph" w:styleId="21">
    <w:name w:val="header"/>
    <w:basedOn w:val="1"/>
    <w:link w:val="45"/>
    <w:qFormat/>
    <w:uiPriority w:val="0"/>
    <w:pPr>
      <w:pBdr>
        <w:bottom w:val="single" w:color="auto" w:sz="6" w:space="1"/>
      </w:pBdr>
      <w:tabs>
        <w:tab w:val="center" w:pos="4153"/>
        <w:tab w:val="right" w:pos="8306"/>
      </w:tabs>
      <w:snapToGrid w:val="0"/>
      <w:jc w:val="center"/>
    </w:pPr>
    <w:rPr>
      <w:sz w:val="18"/>
      <w:szCs w:val="20"/>
    </w:rPr>
  </w:style>
  <w:style w:type="paragraph" w:styleId="22">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23">
    <w:name w:val="toc 4"/>
    <w:basedOn w:val="1"/>
    <w:next w:val="1"/>
    <w:unhideWhenUsed/>
    <w:qFormat/>
    <w:uiPriority w:val="39"/>
    <w:pPr>
      <w:ind w:left="1260" w:leftChars="600"/>
    </w:pPr>
    <w:rPr>
      <w:rFonts w:ascii="等线" w:hAnsi="等线" w:eastAsia="等线"/>
      <w:szCs w:val="22"/>
    </w:rPr>
  </w:style>
  <w:style w:type="paragraph" w:styleId="24">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25">
    <w:name w:val="toc 6"/>
    <w:basedOn w:val="1"/>
    <w:next w:val="1"/>
    <w:unhideWhenUsed/>
    <w:qFormat/>
    <w:uiPriority w:val="39"/>
    <w:pPr>
      <w:ind w:left="2100" w:leftChars="1000"/>
    </w:pPr>
    <w:rPr>
      <w:rFonts w:ascii="等线" w:hAnsi="等线" w:eastAsia="等线"/>
      <w:szCs w:val="22"/>
    </w:rPr>
  </w:style>
  <w:style w:type="paragraph" w:styleId="26">
    <w:name w:val="Body Text Indent 3"/>
    <w:basedOn w:val="1"/>
    <w:link w:val="46"/>
    <w:qFormat/>
    <w:uiPriority w:val="0"/>
    <w:pPr>
      <w:spacing w:after="120"/>
      <w:ind w:left="420" w:leftChars="200"/>
    </w:pPr>
    <w:rPr>
      <w:sz w:val="16"/>
      <w:szCs w:val="16"/>
    </w:rPr>
  </w:style>
  <w:style w:type="paragraph" w:styleId="27">
    <w:name w:val="toc 2"/>
    <w:basedOn w:val="1"/>
    <w:next w:val="1"/>
    <w:unhideWhenUsed/>
    <w:qFormat/>
    <w:uiPriority w:val="39"/>
    <w:pPr>
      <w:widowControl/>
      <w:spacing w:after="100" w:line="259" w:lineRule="auto"/>
      <w:ind w:left="220"/>
      <w:jc w:val="left"/>
    </w:pPr>
    <w:rPr>
      <w:rFonts w:ascii="等线" w:hAnsi="等线" w:eastAsia="等线"/>
      <w:kern w:val="0"/>
      <w:sz w:val="22"/>
      <w:szCs w:val="22"/>
    </w:rPr>
  </w:style>
  <w:style w:type="paragraph" w:styleId="28">
    <w:name w:val="toc 9"/>
    <w:basedOn w:val="1"/>
    <w:next w:val="1"/>
    <w:unhideWhenUsed/>
    <w:qFormat/>
    <w:uiPriority w:val="39"/>
    <w:pPr>
      <w:ind w:left="3360" w:leftChars="1600"/>
    </w:pPr>
    <w:rPr>
      <w:rFonts w:ascii="等线" w:hAnsi="等线" w:eastAsia="等线"/>
      <w:szCs w:val="22"/>
    </w:rPr>
  </w:style>
  <w:style w:type="paragraph" w:styleId="29">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30">
    <w:name w:val="annotation subject"/>
    <w:basedOn w:val="10"/>
    <w:next w:val="10"/>
    <w:link w:val="47"/>
    <w:qFormat/>
    <w:uiPriority w:val="0"/>
    <w:rPr>
      <w:b/>
      <w:bCs/>
      <w:sz w:val="21"/>
      <w:szCs w:val="24"/>
    </w:rPr>
  </w:style>
  <w:style w:type="paragraph" w:styleId="31">
    <w:name w:val="Body Text First Indent 2"/>
    <w:basedOn w:val="13"/>
    <w:next w:val="1"/>
    <w:qFormat/>
    <w:uiPriority w:val="0"/>
    <w:pPr>
      <w:spacing w:after="120"/>
      <w:ind w:left="420" w:leftChars="200" w:firstLine="420" w:firstLineChars="200"/>
    </w:pPr>
    <w:rPr>
      <w:rFonts w:ascii="宋体"/>
      <w:sz w:val="34"/>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page number"/>
    <w:qFormat/>
    <w:uiPriority w:val="0"/>
  </w:style>
  <w:style w:type="character" w:styleId="37">
    <w:name w:val="Hyperlink"/>
    <w:qFormat/>
    <w:uiPriority w:val="99"/>
    <w:rPr>
      <w:color w:val="0000FF"/>
      <w:u w:val="single"/>
    </w:rPr>
  </w:style>
  <w:style w:type="character" w:styleId="38">
    <w:name w:val="annotation reference"/>
    <w:qFormat/>
    <w:uiPriority w:val="0"/>
    <w:rPr>
      <w:sz w:val="21"/>
      <w:szCs w:val="21"/>
    </w:rPr>
  </w:style>
  <w:style w:type="character" w:customStyle="1" w:styleId="39">
    <w:name w:val="标题 2 Char"/>
    <w:link w:val="4"/>
    <w:qFormat/>
    <w:uiPriority w:val="0"/>
    <w:rPr>
      <w:rFonts w:ascii="Arial" w:hAnsi="Arial" w:eastAsia="黑体"/>
      <w:b/>
      <w:bCs/>
      <w:kern w:val="2"/>
      <w:sz w:val="32"/>
      <w:szCs w:val="32"/>
    </w:rPr>
  </w:style>
  <w:style w:type="character" w:customStyle="1" w:styleId="40">
    <w:name w:val="正文缩进 Char"/>
    <w:link w:val="7"/>
    <w:qFormat/>
    <w:uiPriority w:val="0"/>
    <w:rPr>
      <w:rFonts w:eastAsia="宋体"/>
      <w:kern w:val="2"/>
      <w:sz w:val="21"/>
      <w:szCs w:val="24"/>
      <w:lang w:val="en-US" w:eastAsia="zh-CN" w:bidi="ar-SA"/>
    </w:rPr>
  </w:style>
  <w:style w:type="character" w:customStyle="1" w:styleId="41">
    <w:name w:val="批注文字 Char"/>
    <w:link w:val="10"/>
    <w:qFormat/>
    <w:uiPriority w:val="0"/>
    <w:rPr>
      <w:kern w:val="2"/>
      <w:sz w:val="18"/>
      <w:lang w:bidi="ar-SA"/>
    </w:rPr>
  </w:style>
  <w:style w:type="character" w:customStyle="1" w:styleId="42">
    <w:name w:val="正文文本缩进 Char"/>
    <w:link w:val="13"/>
    <w:qFormat/>
    <w:uiPriority w:val="0"/>
    <w:rPr>
      <w:rFonts w:eastAsia="宋体"/>
      <w:kern w:val="2"/>
      <w:sz w:val="32"/>
      <w:lang w:val="en-US" w:eastAsia="zh-CN" w:bidi="ar-SA"/>
    </w:rPr>
  </w:style>
  <w:style w:type="character" w:customStyle="1" w:styleId="43">
    <w:name w:val="纯文本 Char"/>
    <w:link w:val="16"/>
    <w:unhideWhenUsed/>
    <w:qFormat/>
    <w:uiPriority w:val="0"/>
    <w:rPr>
      <w:rFonts w:ascii="宋体" w:hAnsi="Tms Rmn" w:eastAsia="宋体"/>
      <w:sz w:val="21"/>
      <w:lang w:val="en-US" w:eastAsia="zh-CN" w:bidi="ar-SA"/>
    </w:rPr>
  </w:style>
  <w:style w:type="character" w:customStyle="1" w:styleId="44">
    <w:name w:val="页脚 Char"/>
    <w:link w:val="20"/>
    <w:qFormat/>
    <w:uiPriority w:val="99"/>
    <w:rPr>
      <w:rFonts w:eastAsia="宋体"/>
      <w:kern w:val="2"/>
      <w:sz w:val="18"/>
      <w:lang w:val="en-US" w:eastAsia="zh-CN" w:bidi="ar-SA"/>
    </w:rPr>
  </w:style>
  <w:style w:type="character" w:customStyle="1" w:styleId="45">
    <w:name w:val="页眉 Char"/>
    <w:link w:val="21"/>
    <w:qFormat/>
    <w:uiPriority w:val="0"/>
    <w:rPr>
      <w:rFonts w:eastAsia="宋体"/>
      <w:kern w:val="2"/>
      <w:sz w:val="18"/>
      <w:lang w:val="en-US" w:eastAsia="zh-CN" w:bidi="ar-SA"/>
    </w:rPr>
  </w:style>
  <w:style w:type="character" w:customStyle="1" w:styleId="46">
    <w:name w:val="正文文本缩进 3 Char"/>
    <w:link w:val="26"/>
    <w:qFormat/>
    <w:uiPriority w:val="0"/>
    <w:rPr>
      <w:kern w:val="2"/>
      <w:sz w:val="16"/>
      <w:szCs w:val="16"/>
    </w:rPr>
  </w:style>
  <w:style w:type="character" w:customStyle="1" w:styleId="47">
    <w:name w:val="批注主题 Char"/>
    <w:link w:val="30"/>
    <w:qFormat/>
    <w:uiPriority w:val="0"/>
    <w:rPr>
      <w:b/>
      <w:bCs/>
      <w:kern w:val="2"/>
      <w:sz w:val="21"/>
      <w:szCs w:val="24"/>
      <w:lang w:bidi="ar-SA"/>
    </w:rPr>
  </w:style>
  <w:style w:type="paragraph" w:customStyle="1" w:styleId="48">
    <w:name w:val="正文首行缩进 21"/>
    <w:basedOn w:val="49"/>
    <w:qFormat/>
    <w:uiPriority w:val="0"/>
    <w:pPr>
      <w:ind w:firstLine="420"/>
    </w:pPr>
    <w:rPr>
      <w:szCs w:val="22"/>
    </w:rPr>
  </w:style>
  <w:style w:type="paragraph" w:customStyle="1" w:styleId="49">
    <w:name w:val="正文文本缩进1"/>
    <w:basedOn w:val="1"/>
    <w:qFormat/>
    <w:uiPriority w:val="0"/>
    <w:pPr>
      <w:spacing w:line="700" w:lineRule="exact"/>
      <w:ind w:left="960"/>
    </w:pPr>
    <w:rPr>
      <w:sz w:val="44"/>
      <w:szCs w:val="20"/>
    </w:rPr>
  </w:style>
  <w:style w:type="character" w:customStyle="1" w:styleId="50">
    <w:name w:val="NormalCharacter"/>
    <w:semiHidden/>
    <w:qFormat/>
    <w:uiPriority w:val="0"/>
  </w:style>
  <w:style w:type="character" w:customStyle="1" w:styleId="51">
    <w:name w:val="（符号）邀请函中一、"/>
    <w:qFormat/>
    <w:uiPriority w:val="0"/>
    <w:rPr>
      <w:rFonts w:ascii="黑体" w:hAnsi="黑体" w:eastAsia="黑体"/>
      <w:b/>
      <w:bCs/>
      <w:sz w:val="24"/>
    </w:rPr>
  </w:style>
  <w:style w:type="character" w:customStyle="1" w:styleId="52">
    <w:name w:val="页码1"/>
    <w:qFormat/>
    <w:uiPriority w:val="0"/>
  </w:style>
  <w:style w:type="character" w:customStyle="1" w:styleId="53">
    <w:name w:val="GW-正文 Char"/>
    <w:link w:val="54"/>
    <w:qFormat/>
    <w:uiPriority w:val="0"/>
    <w:rPr>
      <w:rFonts w:eastAsia="仿宋_GB2312"/>
      <w:kern w:val="2"/>
      <w:sz w:val="24"/>
      <w:szCs w:val="24"/>
      <w:lang w:val="en-US" w:eastAsia="zh-CN" w:bidi="ar-SA"/>
    </w:rPr>
  </w:style>
  <w:style w:type="paragraph" w:customStyle="1" w:styleId="54">
    <w:name w:val="GW-正文"/>
    <w:basedOn w:val="1"/>
    <w:link w:val="53"/>
    <w:qFormat/>
    <w:uiPriority w:val="0"/>
    <w:pPr>
      <w:spacing w:line="360" w:lineRule="auto"/>
      <w:ind w:firstLine="200" w:firstLineChars="200"/>
    </w:pPr>
    <w:rPr>
      <w:rFonts w:eastAsia="仿宋_GB2312"/>
      <w:sz w:val="24"/>
    </w:rPr>
  </w:style>
  <w:style w:type="character" w:customStyle="1" w:styleId="55">
    <w:name w:val="Char Char9"/>
    <w:qFormat/>
    <w:uiPriority w:val="0"/>
    <w:rPr>
      <w:kern w:val="2"/>
      <w:sz w:val="21"/>
    </w:rPr>
  </w:style>
  <w:style w:type="character" w:customStyle="1" w:styleId="56">
    <w:name w:val="未处理的提及1"/>
    <w:unhideWhenUsed/>
    <w:qFormat/>
    <w:uiPriority w:val="99"/>
    <w:rPr>
      <w:color w:val="605E5C"/>
      <w:shd w:val="clear" w:color="auto" w:fill="E1DFDD"/>
    </w:rPr>
  </w:style>
  <w:style w:type="character" w:customStyle="1" w:styleId="57">
    <w:name w:val="列出段落 Char"/>
    <w:link w:val="58"/>
    <w:qFormat/>
    <w:uiPriority w:val="0"/>
    <w:rPr>
      <w:rFonts w:eastAsia="宋体"/>
      <w:kern w:val="2"/>
      <w:sz w:val="21"/>
      <w:szCs w:val="24"/>
      <w:lang w:val="en-US" w:eastAsia="zh-CN" w:bidi="ar-SA"/>
    </w:rPr>
  </w:style>
  <w:style w:type="paragraph" w:styleId="58">
    <w:name w:val="List Paragraph"/>
    <w:basedOn w:val="1"/>
    <w:link w:val="57"/>
    <w:qFormat/>
    <w:uiPriority w:val="0"/>
    <w:pPr>
      <w:ind w:firstLine="420" w:firstLineChars="200"/>
    </w:pPr>
  </w:style>
  <w:style w:type="character" w:customStyle="1" w:styleId="59">
    <w:name w:val="批注文字 Char1"/>
    <w:qFormat/>
    <w:uiPriority w:val="0"/>
    <w:rPr>
      <w:kern w:val="2"/>
      <w:sz w:val="18"/>
      <w:lang w:bidi="ar-SA"/>
    </w:rPr>
  </w:style>
  <w:style w:type="paragraph" w:customStyle="1" w:styleId="60">
    <w:name w:val="表格"/>
    <w:basedOn w:val="1"/>
    <w:qFormat/>
    <w:uiPriority w:val="0"/>
    <w:pPr>
      <w:spacing w:line="400" w:lineRule="exact"/>
    </w:pPr>
    <w:rPr>
      <w:sz w:val="24"/>
    </w:rPr>
  </w:style>
  <w:style w:type="paragraph" w:customStyle="1" w:styleId="61">
    <w:name w:val="WPSOffice手动目录 1"/>
    <w:qFormat/>
    <w:uiPriority w:val="0"/>
    <w:rPr>
      <w:rFonts w:ascii="Times New Roman" w:hAnsi="Times New Roman" w:eastAsia="宋体" w:cs="Times New Roman"/>
      <w:lang w:val="en-US" w:eastAsia="zh-CN" w:bidi="ar-SA"/>
    </w:rPr>
  </w:style>
  <w:style w:type="paragraph" w:customStyle="1" w:styleId="62">
    <w:name w:val="_Style 61"/>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63">
    <w:name w:val="Char Char Char Char Char Char Char Char Char Char Char Char Char Char1 Char Char Char Char"/>
    <w:basedOn w:val="1"/>
    <w:qFormat/>
    <w:uiPriority w:val="0"/>
    <w:rPr>
      <w:szCs w:val="21"/>
    </w:rPr>
  </w:style>
  <w:style w:type="paragraph" w:customStyle="1" w:styleId="64">
    <w:name w:val="01、普通正文"/>
    <w:basedOn w:val="1"/>
    <w:qFormat/>
    <w:uiPriority w:val="0"/>
    <w:pPr>
      <w:tabs>
        <w:tab w:val="left" w:pos="0"/>
      </w:tabs>
      <w:wordWrap w:val="0"/>
      <w:topLinePunct/>
      <w:ind w:firstLine="0" w:firstLineChars="0"/>
    </w:pPr>
    <w:rPr>
      <w:rFonts w:ascii="宋体" w:hAnsi="宋体" w:eastAsia="宋体"/>
      <w:snapToGrid w:val="0"/>
    </w:rPr>
  </w:style>
  <w:style w:type="paragraph" w:customStyle="1" w:styleId="65">
    <w:name w:val="正文（绿盟科技）"/>
    <w:basedOn w:val="1"/>
    <w:qFormat/>
    <w:uiPriority w:val="0"/>
    <w:pPr>
      <w:widowControl/>
      <w:spacing w:line="300" w:lineRule="auto"/>
      <w:jc w:val="left"/>
    </w:pPr>
    <w:rPr>
      <w:rFonts w:ascii="Arial" w:hAnsi="Arial"/>
      <w:szCs w:val="21"/>
    </w:rPr>
  </w:style>
  <w:style w:type="paragraph" w:customStyle="1" w:styleId="66">
    <w:name w:val="正文首行缩进两字符"/>
    <w:basedOn w:val="1"/>
    <w:qFormat/>
    <w:uiPriority w:val="0"/>
    <w:pPr>
      <w:spacing w:line="360" w:lineRule="auto"/>
      <w:ind w:firstLine="200" w:firstLineChars="200"/>
    </w:pPr>
  </w:style>
  <w:style w:type="paragraph" w:customStyle="1" w:styleId="67">
    <w:name w:val="03、“注：”正文(加粗，首行缩进2字符)"/>
    <w:basedOn w:val="64"/>
    <w:qFormat/>
    <w:uiPriority w:val="0"/>
    <w:pPr>
      <w:ind w:firstLine="480" w:firstLineChars="200"/>
    </w:pPr>
    <w:rPr>
      <w:b/>
    </w:rPr>
  </w:style>
  <w:style w:type="paragraph" w:customStyle="1" w:styleId="68">
    <w:name w:val="列出段落1"/>
    <w:basedOn w:val="1"/>
    <w:qFormat/>
    <w:uiPriority w:val="34"/>
    <w:pPr>
      <w:widowControl/>
      <w:spacing w:before="39" w:after="158" w:line="351" w:lineRule="atLeast"/>
      <w:ind w:firstLine="419"/>
      <w:textAlignment w:val="baseline"/>
    </w:pPr>
    <w:rPr>
      <w:rFonts w:ascii="Times New Roman" w:hAnsi="Times New Roman"/>
      <w:color w:val="000000"/>
      <w:kern w:val="0"/>
      <w:szCs w:val="20"/>
      <w:u w:val="none" w:color="000000"/>
    </w:rPr>
  </w:style>
  <w:style w:type="paragraph" w:customStyle="1" w:styleId="69">
    <w:name w:val="样式 首行缩进:  2 字符"/>
    <w:basedOn w:val="1"/>
    <w:qFormat/>
    <w:uiPriority w:val="0"/>
    <w:pPr>
      <w:spacing w:line="400" w:lineRule="exact"/>
      <w:ind w:firstLine="200" w:firstLineChars="200"/>
    </w:pPr>
    <w:rPr>
      <w:rFonts w:cs="宋体"/>
      <w:sz w:val="24"/>
    </w:rPr>
  </w:style>
  <w:style w:type="paragraph" w:customStyle="1" w:styleId="70">
    <w:name w:val="方案正文"/>
    <w:basedOn w:val="1"/>
    <w:qFormat/>
    <w:uiPriority w:val="0"/>
    <w:pPr>
      <w:spacing w:line="360" w:lineRule="auto"/>
      <w:ind w:firstLine="200" w:firstLineChars="200"/>
    </w:pPr>
    <w:rPr>
      <w:rFonts w:ascii="宋体" w:hAnsi="宋体" w:eastAsia="宋体" w:cs="宋体"/>
      <w:sz w:val="24"/>
      <w:szCs w:val="28"/>
    </w:rPr>
  </w:style>
  <w:style w:type="paragraph" w:customStyle="1" w:styleId="71">
    <w:name w:val="Heading2"/>
    <w:basedOn w:val="1"/>
    <w:next w:val="1"/>
    <w:semiHidden/>
    <w:qFormat/>
    <w:uiPriority w:val="0"/>
    <w:pPr>
      <w:keepNext/>
      <w:keepLines/>
      <w:spacing w:before="260" w:after="260" w:line="416" w:lineRule="auto"/>
    </w:pPr>
    <w:rPr>
      <w:rFonts w:ascii="Cambria" w:hAnsi="Cambria"/>
      <w:b/>
      <w:bCs/>
      <w:sz w:val="32"/>
      <w:szCs w:val="32"/>
    </w:rPr>
  </w:style>
  <w:style w:type="paragraph" w:customStyle="1" w:styleId="72">
    <w:name w:val="Default"/>
    <w:qFormat/>
    <w:uiPriority w:val="0"/>
    <w:pPr>
      <w:widowControl w:val="0"/>
      <w:autoSpaceDE w:val="0"/>
      <w:autoSpaceDN w:val="0"/>
      <w:adjustRightInd w:val="0"/>
    </w:pPr>
    <w:rPr>
      <w:rFonts w:ascii="..ì." w:hAnsi="..ì." w:eastAsia="..ì." w:cs="..ì."/>
      <w:color w:val="000000"/>
      <w:sz w:val="24"/>
      <w:szCs w:val="24"/>
      <w:lang w:val="en-US" w:eastAsia="zh-CN" w:bidi="ar-SA"/>
    </w:rPr>
  </w:style>
  <w:style w:type="paragraph" w:customStyle="1" w:styleId="73">
    <w:name w:val="要求正文"/>
    <w:basedOn w:val="1"/>
    <w:qFormat/>
    <w:uiPriority w:val="0"/>
    <w:pPr>
      <w:spacing w:line="400" w:lineRule="exact"/>
      <w:ind w:firstLine="420" w:firstLineChars="200"/>
    </w:pPr>
    <w:rPr>
      <w:rFonts w:cs="Times New Roman"/>
      <w:sz w:val="24"/>
      <w:szCs w:val="22"/>
    </w:rPr>
  </w:style>
  <w:style w:type="paragraph" w:customStyle="1" w:styleId="74">
    <w:name w:val="标题 5（有编号）（绿盟科技）"/>
    <w:basedOn w:val="1"/>
    <w:next w:val="65"/>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75">
    <w:name w:val="13、表格内居中正文"/>
    <w:basedOn w:val="1"/>
    <w:qFormat/>
    <w:uiPriority w:val="0"/>
    <w:pPr>
      <w:tabs>
        <w:tab w:val="left" w:pos="0"/>
      </w:tabs>
      <w:wordWrap w:val="0"/>
      <w:topLinePunct/>
      <w:adjustRightInd w:val="0"/>
      <w:snapToGrid w:val="0"/>
      <w:spacing w:line="360" w:lineRule="exact"/>
      <w:jc w:val="center"/>
    </w:pPr>
    <w:rPr>
      <w:rFonts w:ascii="宋体" w:hAnsi="宋体" w:cs="Times New Roman"/>
    </w:rPr>
  </w:style>
  <w:style w:type="paragraph" w:customStyle="1" w:styleId="76">
    <w:name w:val="p0"/>
    <w:basedOn w:val="1"/>
    <w:qFormat/>
    <w:uiPriority w:val="0"/>
    <w:pPr>
      <w:widowControl/>
    </w:pPr>
    <w:rPr>
      <w:szCs w:val="21"/>
    </w:rPr>
  </w:style>
  <w:style w:type="paragraph" w:customStyle="1" w:styleId="7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78">
    <w:name w:val="12、表格内左对齐正文"/>
    <w:basedOn w:val="1"/>
    <w:qFormat/>
    <w:uiPriority w:val="0"/>
    <w:pPr>
      <w:tabs>
        <w:tab w:val="left" w:pos="0"/>
      </w:tabs>
      <w:wordWrap w:val="0"/>
      <w:topLinePunct/>
      <w:adjustRightInd w:val="0"/>
      <w:snapToGrid w:val="0"/>
      <w:spacing w:line="360" w:lineRule="exact"/>
      <w:ind w:left="48" w:leftChars="20"/>
      <w:jc w:val="left"/>
    </w:pPr>
    <w:rPr>
      <w:rFonts w:ascii="宋体" w:hAnsi="宋体"/>
      <w:snapToGrid w:val="0"/>
    </w:rPr>
  </w:style>
  <w:style w:type="paragraph" w:customStyle="1" w:styleId="79">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80">
    <w:name w:val="列出段落2"/>
    <w:basedOn w:val="1"/>
    <w:qFormat/>
    <w:uiPriority w:val="0"/>
    <w:pPr>
      <w:ind w:firstLine="420" w:firstLineChars="200"/>
    </w:pPr>
    <w:rPr>
      <w:rFonts w:ascii="Calibri" w:hAnsi="Calibri"/>
      <w:szCs w:val="22"/>
    </w:rPr>
  </w:style>
  <w:style w:type="paragraph" w:customStyle="1" w:styleId="81">
    <w:name w:val="Table Paragraph"/>
    <w:basedOn w:val="1"/>
    <w:qFormat/>
    <w:uiPriority w:val="1"/>
    <w:rPr>
      <w:rFonts w:ascii="宋体" w:hAnsi="宋体" w:eastAsia="宋体" w:cs="宋体"/>
      <w:lang w:val="en-US" w:eastAsia="zh-CN" w:bidi="ar-SA"/>
    </w:rPr>
  </w:style>
  <w:style w:type="paragraph" w:customStyle="1" w:styleId="82">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阿坝州公共资源交易中心</Company>
  <Pages>46</Pages>
  <Words>23282</Words>
  <Characters>24520</Characters>
  <Lines>235</Lines>
  <Paragraphs>66</Paragraphs>
  <TotalTime>2832</TotalTime>
  <ScaleCrop>false</ScaleCrop>
  <LinksUpToDate>false</LinksUpToDate>
  <CharactersWithSpaces>24944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2022-10-30T11:08:00Z</dcterms:created>
  <dc:creator>北京筑龙信息技术有限责任公司</dc:creator>
  <cp:lastModifiedBy>北葵向暖</cp:lastModifiedBy>
  <cp:lastPrinted>2026-07-06T04:38:52Z</cp:lastPrinted>
  <dcterms:modified xsi:type="dcterms:W3CDTF">2026-07-10T08:44:19Z</dcterms:modified>
  <dc:title>阿坝州政府采购竞争性磋商服务招标文件范本</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464A4A68FA4F41AF9F9E56615394B4BE_13</vt:lpwstr>
  </property>
  <property fmtid="{D5CDD505-2E9C-101B-9397-08002B2CF9AE}" pid="4" name="commondata">
    <vt:lpwstr>eyJoZGlkIjoiMmVkYzNkYzIwNDU5MmI4NGJmZjU0YzAwMjhjMjFiMjgifQ==</vt:lpwstr>
  </property>
  <property fmtid="{D5CDD505-2E9C-101B-9397-08002B2CF9AE}" pid="5" name="KSOTemplateDocerSaveRecord">
    <vt:lpwstr>eyJoZGlkIjoiZmU1ODUxZmQxZDcxYTQ1ZDEwN2ZkNjk2ZjMyMjg5YWMiLCJ1c2VySWQiOiI1MDM5MzY2ODEifQ==</vt:lpwstr>
  </property>
</Properties>
</file>